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9F4D38">
      <w:pPr>
        <w:keepNext w:val="0"/>
        <w:keepLines w:val="0"/>
        <w:pageBreakBefore w:val="0"/>
        <w:widowControl w:val="0"/>
        <w:kinsoku/>
        <w:wordWrap/>
        <w:overflowPunct/>
        <w:topLinePunct w:val="0"/>
        <w:autoSpaceDE/>
        <w:autoSpaceDN/>
        <w:bidi w:val="0"/>
        <w:adjustRightInd w:val="0"/>
        <w:snapToGrid w:val="0"/>
        <w:spacing w:line="560" w:lineRule="atLeast"/>
        <w:jc w:val="center"/>
        <w:textAlignment w:val="auto"/>
        <w:rPr>
          <w:rFonts w:hint="default" w:ascii="Times New Roman" w:hAnsi="Times New Roman" w:eastAsia="仿宋_GB2312" w:cs="Times New Roman"/>
          <w:sz w:val="32"/>
        </w:rPr>
      </w:pPr>
      <w:r>
        <w:rPr>
          <w:rFonts w:hint="default" w:ascii="Times New Roman" w:hAnsi="Times New Roman" w:cs="Times New Roman"/>
        </w:rPr>
        <mc:AlternateContent>
          <mc:Choice Requires="wps">
            <w:drawing>
              <wp:inline distT="0" distB="0" distL="0" distR="0">
                <wp:extent cx="5263515" cy="930275"/>
                <wp:effectExtent l="19050" t="19050" r="19050" b="9525"/>
                <wp:docPr id="1403500121" name="文本框 1"/>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263515" cy="930275"/>
                        </a:xfrm>
                        <a:prstGeom prst="rect">
                          <a:avLst/>
                        </a:prstGeom>
                      </wps:spPr>
                      <wps:txbx>
                        <w:txbxContent>
                          <w:p w14:paraId="5A9CEC92">
                            <w:pPr>
                              <w:jc w:val="center"/>
                              <w:rPr>
                                <w:b/>
                                <w:bCs/>
                                <w:color w:val="FF0000"/>
                                <w:kern w:val="0"/>
                                <w:sz w:val="72"/>
                                <w:szCs w:val="72"/>
                                <w14:textOutline w14:w="9525" w14:cap="flat" w14:cmpd="sng" w14:algn="ctr">
                                  <w14:solidFill>
                                    <w14:srgbClr w14:val="FF0000"/>
                                  </w14:solidFill>
                                  <w14:prstDash w14:val="solid"/>
                                  <w14:round/>
                                </w14:textOutline>
                                <w14:ligatures w14:val="none"/>
                              </w:rPr>
                            </w:pPr>
                            <w:r>
                              <w:rPr>
                                <w:rFonts w:hint="eastAsia"/>
                                <w:b/>
                                <w:bCs/>
                                <w:color w:val="FF0000"/>
                                <w:sz w:val="72"/>
                                <w:szCs w:val="72"/>
                                <w14:textOutline w14:w="9525" w14:cap="flat" w14:cmpd="sng" w14:algn="ctr">
                                  <w14:solidFill>
                                    <w14:srgbClr w14:val="FF0000"/>
                                  </w14:solidFill>
                                  <w14:prstDash w14:val="solid"/>
                                  <w14:round/>
                                </w14:textOutline>
                              </w:rPr>
                              <w:t>环境科学与工程学院文件</w:t>
                            </w:r>
                          </w:p>
                        </w:txbxContent>
                      </wps:txbx>
                      <wps:bodyPr wrap="square" numCol="1" fromWordArt="1">
                        <a:prstTxWarp prst="textPlain">
                          <a:avLst>
                            <a:gd name="adj" fmla="val 50000"/>
                          </a:avLst>
                        </a:prstTxWarp>
                        <a:spAutoFit/>
                      </wps:bodyPr>
                    </wps:wsp>
                  </a:graphicData>
                </a:graphic>
              </wp:inline>
            </w:drawing>
          </mc:Choice>
          <mc:Fallback>
            <w:pict>
              <v:shape id="文本框 1" o:spid="_x0000_s1026" o:spt="202" type="#_x0000_t202" style="height:73.25pt;width:414.45pt;" filled="f" stroked="f" coordsize="21600,21600" o:gfxdata="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Dx9JMP1QAAAAUBAAAPAAAAAAAAAAEAIAAAACIAAABkcnMvZG93bnJldi54bWxQSwECFAAUAAAA&#10;CACHTuJAX4O6byoCAAAyBAAADgAAAAAAAAABACAAAAAkAQAAZHJzL2Uyb0RvYy54bWxQSwUGAAAA&#10;AAYABgBZAQAAwAUAAAAA&#10;" adj="10800">
                <v:fill on="f" focussize="0,0"/>
                <v:stroke on="f"/>
                <v:imagedata o:title=""/>
                <o:lock v:ext="edit" text="t" aspectratio="f"/>
                <v:textbox style="mso-fit-shape-to-text:t;">
                  <w:txbxContent>
                    <w:p w14:paraId="5A9CEC92">
                      <w:pPr>
                        <w:jc w:val="center"/>
                        <w:rPr>
                          <w:b/>
                          <w:bCs/>
                          <w:color w:val="FF0000"/>
                          <w:kern w:val="0"/>
                          <w:sz w:val="72"/>
                          <w:szCs w:val="72"/>
                          <w14:textOutline w14:w="9525" w14:cap="flat" w14:cmpd="sng" w14:algn="ctr">
                            <w14:solidFill>
                              <w14:srgbClr w14:val="FF0000"/>
                            </w14:solidFill>
                            <w14:prstDash w14:val="solid"/>
                            <w14:round/>
                          </w14:textOutline>
                          <w14:ligatures w14:val="none"/>
                        </w:rPr>
                      </w:pPr>
                      <w:r>
                        <w:rPr>
                          <w:rFonts w:hint="eastAsia"/>
                          <w:b/>
                          <w:bCs/>
                          <w:color w:val="FF0000"/>
                          <w:sz w:val="72"/>
                          <w:szCs w:val="72"/>
                          <w14:textOutline w14:w="9525" w14:cap="flat" w14:cmpd="sng" w14:algn="ctr">
                            <w14:solidFill>
                              <w14:srgbClr w14:val="FF0000"/>
                            </w14:solidFill>
                            <w14:prstDash w14:val="solid"/>
                            <w14:round/>
                          </w14:textOutline>
                        </w:rPr>
                        <w:t>环境科学与工程学院文件</w:t>
                      </w:r>
                    </w:p>
                  </w:txbxContent>
                </v:textbox>
                <w10:wrap type="none"/>
                <w10:anchorlock/>
              </v:shape>
            </w:pict>
          </mc:Fallback>
        </mc:AlternateContent>
      </w:r>
    </w:p>
    <w:p w14:paraId="6B622679">
      <w:pPr>
        <w:keepNext w:val="0"/>
        <w:keepLines w:val="0"/>
        <w:pageBreakBefore w:val="0"/>
        <w:widowControl w:val="0"/>
        <w:kinsoku/>
        <w:wordWrap/>
        <w:overflowPunct/>
        <w:topLinePunct w:val="0"/>
        <w:autoSpaceDE/>
        <w:autoSpaceDN/>
        <w:bidi w:val="0"/>
        <w:adjustRightInd w:val="0"/>
        <w:snapToGrid w:val="0"/>
        <w:spacing w:line="560" w:lineRule="atLeast"/>
        <w:jc w:val="center"/>
        <w:textAlignment w:val="auto"/>
        <w:rPr>
          <w:rFonts w:hint="default" w:ascii="Times New Roman" w:hAnsi="Times New Roman" w:eastAsia="仿宋_GB2312" w:cs="Times New Roman"/>
          <w:sz w:val="32"/>
        </w:rPr>
      </w:pPr>
      <w:bookmarkStart w:id="0" w:name="文号"/>
      <w:r>
        <w:rPr>
          <w:rFonts w:hint="default" w:ascii="Times New Roman" w:hAnsi="Times New Roman" w:eastAsia="仿宋_GB2312" w:cs="Times New Roman"/>
          <w:sz w:val="32"/>
        </w:rPr>
        <w:t>环境办〔202</w:t>
      </w:r>
      <w:r>
        <w:rPr>
          <w:rFonts w:hint="default" w:ascii="Times New Roman" w:hAnsi="Times New Roman" w:eastAsia="仿宋_GB2312" w:cs="Times New Roman"/>
          <w:sz w:val="32"/>
          <w:lang w:val="en-US" w:eastAsia="zh-CN"/>
        </w:rPr>
        <w:t>6</w:t>
      </w:r>
      <w:r>
        <w:rPr>
          <w:rFonts w:hint="default" w:ascii="Times New Roman" w:hAnsi="Times New Roman" w:eastAsia="仿宋_GB2312" w:cs="Times New Roman"/>
          <w:sz w:val="32"/>
        </w:rPr>
        <w:t>〕</w:t>
      </w:r>
      <w:r>
        <w:rPr>
          <w:rFonts w:hint="eastAsia" w:ascii="Times New Roman" w:hAnsi="Times New Roman" w:eastAsia="仿宋_GB2312" w:cs="Times New Roman"/>
          <w:sz w:val="32"/>
          <w:lang w:val="en-US" w:eastAsia="zh-CN"/>
        </w:rPr>
        <w:t>4</w:t>
      </w:r>
      <w:bookmarkStart w:id="4" w:name="_GoBack"/>
      <w:bookmarkEnd w:id="4"/>
      <w:r>
        <w:rPr>
          <w:rFonts w:hint="default" w:ascii="Times New Roman" w:hAnsi="Times New Roman" w:eastAsia="仿宋_GB2312" w:cs="Times New Roman"/>
          <w:sz w:val="32"/>
        </w:rPr>
        <w:t>号</w:t>
      </w:r>
      <w:bookmarkEnd w:id="0"/>
    </w:p>
    <w:p w14:paraId="45047572">
      <w:pPr>
        <w:keepNext w:val="0"/>
        <w:keepLines w:val="0"/>
        <w:pageBreakBefore w:val="0"/>
        <w:widowControl w:val="0"/>
        <w:kinsoku/>
        <w:wordWrap/>
        <w:overflowPunct/>
        <w:topLinePunct w:val="0"/>
        <w:autoSpaceDE/>
        <w:autoSpaceDN/>
        <w:bidi w:val="0"/>
        <w:adjustRightInd w:val="0"/>
        <w:snapToGrid w:val="0"/>
        <w:spacing w:line="560" w:lineRule="atLeast"/>
        <w:jc w:val="center"/>
        <w:textAlignment w:val="auto"/>
        <w:rPr>
          <w:rFonts w:hint="default" w:ascii="Times New Roman" w:hAnsi="Times New Roman" w:eastAsia="黑体" w:cs="Times New Roman"/>
          <w:b/>
          <w:bCs/>
          <w:sz w:val="32"/>
          <w:szCs w:val="32"/>
        </w:rPr>
      </w:pPr>
      <w:r>
        <w:rPr>
          <w:rFonts w:hint="default" w:ascii="Times New Roman" w:hAnsi="Times New Roman" w:eastAsia="黑体" w:cs="Times New Roman"/>
          <w:b/>
          <w:bCs/>
          <w:sz w:val="32"/>
          <w:szCs w:val="32"/>
        </w:rPr>
        <mc:AlternateContent>
          <mc:Choice Requires="wps">
            <w:drawing>
              <wp:anchor distT="0" distB="0" distL="114300" distR="114300" simplePos="0" relativeHeight="251660288" behindDoc="0" locked="0" layoutInCell="1" allowOverlap="1">
                <wp:simplePos x="0" y="0"/>
                <wp:positionH relativeFrom="column">
                  <wp:posOffset>-38100</wp:posOffset>
                </wp:positionH>
                <wp:positionV relativeFrom="paragraph">
                  <wp:posOffset>27940</wp:posOffset>
                </wp:positionV>
                <wp:extent cx="5476875" cy="0"/>
                <wp:effectExtent l="0" t="13970" r="9525" b="24130"/>
                <wp:wrapSquare wrapText="bothSides"/>
                <wp:docPr id="5" name="直接连接符 5"/>
                <wp:cNvGraphicFramePr/>
                <a:graphic xmlns:a="http://schemas.openxmlformats.org/drawingml/2006/main">
                  <a:graphicData uri="http://schemas.microsoft.com/office/word/2010/wordprocessingShape">
                    <wps:wsp>
                      <wps:cNvCnPr/>
                      <wps:spPr>
                        <a:xfrm>
                          <a:off x="0" y="0"/>
                          <a:ext cx="5476875" cy="0"/>
                        </a:xfrm>
                        <a:prstGeom prst="line">
                          <a:avLst/>
                        </a:prstGeom>
                        <a:ln w="28575" cap="flat" cmpd="sng">
                          <a:solidFill>
                            <a:srgbClr val="FF0000"/>
                          </a:solidFill>
                          <a:prstDash val="solid"/>
                          <a:headEnd type="none" w="med" len="med"/>
                          <a:tailEnd type="none" w="med" len="med"/>
                        </a:ln>
                      </wps:spPr>
                      <wps:bodyPr/>
                    </wps:wsp>
                  </a:graphicData>
                </a:graphic>
              </wp:anchor>
            </w:drawing>
          </mc:Choice>
          <mc:Fallback>
            <w:pict>
              <v:line id="_x0000_s1026" o:spid="_x0000_s1026" o:spt="20" style="position:absolute;left:0pt;margin-left:-3pt;margin-top:2.2pt;height:0pt;width:431.25pt;mso-wrap-distance-bottom:0pt;mso-wrap-distance-left:9pt;mso-wrap-distance-right:9pt;mso-wrap-distance-top:0pt;z-index:251660288;mso-width-relative:page;mso-height-relative:page;" filled="f" stroked="t" coordsize="21600,21600" o:gfxdata="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CR&#10;5z531QAAAAYBAAAPAAAAAAAAAAEAIAAAACIAAABkcnMvZG93bnJldi54bWxQSwECFAAUAAAACACH&#10;TuJAocDyQ+4BAADZAwAADgAAAAAAAAABACAAAAAkAQAAZHJzL2Uyb0RvYy54bWxQSwUGAAAAAAYA&#10;BgBZAQAAhAUAAAAA&#10;">
                <v:fill on="f" focussize="0,0"/>
                <v:stroke weight="2.25pt" color="#FF0000" joinstyle="round"/>
                <v:imagedata o:title=""/>
                <o:lock v:ext="edit" aspectratio="f"/>
                <w10:wrap type="square"/>
              </v:line>
            </w:pict>
          </mc:Fallback>
        </mc:AlternateContent>
      </w:r>
      <w:bookmarkStart w:id="1" w:name="_Hlk43235124"/>
      <w:bookmarkStart w:id="2" w:name="_Hlk150081305"/>
      <w:bookmarkStart w:id="3" w:name="_Hlk150080163"/>
    </w:p>
    <w:bookmarkEnd w:id="1"/>
    <w:p w14:paraId="764232B9">
      <w:pPr>
        <w:pStyle w:val="5"/>
        <w:keepNext w:val="0"/>
        <w:keepLines w:val="0"/>
        <w:pageBreakBefore w:val="0"/>
        <w:kinsoku/>
        <w:wordWrap/>
        <w:overflowPunct/>
        <w:topLinePunct w:val="0"/>
        <w:autoSpaceDE/>
        <w:autoSpaceDN/>
        <w:bidi w:val="0"/>
        <w:adjustRightInd w:val="0"/>
        <w:snapToGrid w:val="0"/>
        <w:spacing w:before="0" w:beforeAutospacing="0" w:after="0" w:afterAutospacing="0" w:line="560" w:lineRule="atLeast"/>
        <w:jc w:val="center"/>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环境</w:t>
      </w:r>
      <w:r>
        <w:rPr>
          <w:rFonts w:hint="eastAsia" w:ascii="仿宋_GB2312" w:hAnsi="仿宋_GB2312" w:eastAsia="仿宋_GB2312" w:cs="仿宋_GB2312"/>
          <w:b/>
          <w:bCs/>
          <w:color w:val="000000"/>
          <w:sz w:val="32"/>
          <w:szCs w:val="32"/>
          <w:lang w:val="en-US" w:eastAsia="zh-CN"/>
        </w:rPr>
        <w:t>科学与工程</w:t>
      </w:r>
      <w:r>
        <w:rPr>
          <w:rFonts w:hint="eastAsia" w:ascii="仿宋_GB2312" w:hAnsi="仿宋_GB2312" w:eastAsia="仿宋_GB2312" w:cs="仿宋_GB2312"/>
          <w:b/>
          <w:bCs/>
          <w:color w:val="000000"/>
          <w:sz w:val="32"/>
          <w:szCs w:val="32"/>
        </w:rPr>
        <w:t>学院研究生学业奖学金评审办法</w:t>
      </w:r>
    </w:p>
    <w:p w14:paraId="21FA1D3D">
      <w:pPr>
        <w:pStyle w:val="5"/>
        <w:keepNext w:val="0"/>
        <w:keepLines w:val="0"/>
        <w:pageBreakBefore w:val="0"/>
        <w:kinsoku/>
        <w:wordWrap/>
        <w:overflowPunct/>
        <w:topLinePunct w:val="0"/>
        <w:autoSpaceDE/>
        <w:autoSpaceDN/>
        <w:bidi w:val="0"/>
        <w:adjustRightInd w:val="0"/>
        <w:snapToGrid w:val="0"/>
        <w:spacing w:before="0" w:beforeAutospacing="0" w:after="0" w:afterAutospacing="0" w:line="560" w:lineRule="atLeast"/>
        <w:jc w:val="both"/>
        <w:textAlignment w:val="auto"/>
        <w:rPr>
          <w:rFonts w:hint="eastAsia" w:ascii="仿宋_GB2312" w:hAnsi="黑体" w:eastAsia="仿宋_GB2312" w:cs="Tahoma"/>
          <w:color w:val="000000"/>
          <w:sz w:val="32"/>
          <w:szCs w:val="32"/>
        </w:rPr>
      </w:pPr>
    </w:p>
    <w:p w14:paraId="6A4BE9FD">
      <w:pPr>
        <w:pStyle w:val="5"/>
        <w:keepNext w:val="0"/>
        <w:keepLines w:val="0"/>
        <w:pageBreakBefore w:val="0"/>
        <w:kinsoku/>
        <w:wordWrap/>
        <w:overflowPunct/>
        <w:topLinePunct w:val="0"/>
        <w:autoSpaceDE/>
        <w:autoSpaceDN/>
        <w:bidi w:val="0"/>
        <w:adjustRightInd w:val="0"/>
        <w:snapToGrid w:val="0"/>
        <w:spacing w:before="0" w:beforeAutospacing="0" w:after="0" w:afterAutospacing="0" w:line="560" w:lineRule="atLeast"/>
        <w:jc w:val="center"/>
        <w:textAlignment w:val="auto"/>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第一章  总  则</w:t>
      </w:r>
    </w:p>
    <w:p w14:paraId="23015583">
      <w:pPr>
        <w:keepNext w:val="0"/>
        <w:keepLines w:val="0"/>
        <w:pageBreakBefore w:val="0"/>
        <w:widowControl/>
        <w:shd w:val="clear" w:color="auto" w:fill="FFFFFF"/>
        <w:kinsoku/>
        <w:wordWrap/>
        <w:overflowPunct/>
        <w:topLinePunct w:val="0"/>
        <w:autoSpaceDE/>
        <w:autoSpaceDN/>
        <w:bidi w:val="0"/>
        <w:adjustRightInd w:val="0"/>
        <w:snapToGrid w:val="0"/>
        <w:spacing w:line="560" w:lineRule="atLeast"/>
        <w:ind w:firstLine="562"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b/>
          <w:sz w:val="28"/>
          <w:szCs w:val="28"/>
        </w:rPr>
        <w:t>第一条</w:t>
      </w:r>
      <w:r>
        <w:rPr>
          <w:rFonts w:hint="eastAsia" w:ascii="仿宋_GB2312" w:hAnsi="仿宋_GB2312" w:eastAsia="仿宋_GB2312" w:cs="仿宋_GB2312"/>
          <w:sz w:val="28"/>
          <w:szCs w:val="28"/>
        </w:rPr>
        <w:t xml:space="preserve">  为激励研究生勤奋学习、潜心科研、勇于创新、积极进取，在全面实行研究生收费制度的情况下支持研究生顺利完成学业，根据学校</w:t>
      </w:r>
      <w:r>
        <w:rPr>
          <w:rFonts w:hint="eastAsia" w:ascii="仿宋_GB2312" w:hAnsi="仿宋_GB2312" w:eastAsia="仿宋_GB2312" w:cs="仿宋_GB2312"/>
          <w:kern w:val="0"/>
          <w:sz w:val="28"/>
          <w:szCs w:val="28"/>
        </w:rPr>
        <w:t>《浙江工商大学研究生学业奖学金管理</w:t>
      </w:r>
      <w:r>
        <w:rPr>
          <w:rFonts w:hint="eastAsia" w:ascii="仿宋_GB2312" w:hAnsi="仿宋_GB2312" w:eastAsia="仿宋_GB2312" w:cs="仿宋_GB2312"/>
          <w:color w:val="auto"/>
          <w:kern w:val="0"/>
          <w:sz w:val="28"/>
          <w:szCs w:val="28"/>
        </w:rPr>
        <w:t>办法》</w:t>
      </w:r>
      <w:r>
        <w:rPr>
          <w:rFonts w:hint="eastAsia" w:ascii="仿宋_GB2312" w:hAnsi="仿宋_GB2312" w:eastAsia="仿宋_GB2312" w:cs="仿宋_GB2312"/>
          <w:sz w:val="28"/>
          <w:szCs w:val="28"/>
        </w:rPr>
        <w:t>（浙商大研〔</w:t>
      </w:r>
      <w:r>
        <w:rPr>
          <w:rFonts w:hint="eastAsia" w:ascii="仿宋_GB2312" w:hAnsi="仿宋_GB2312" w:eastAsia="仿宋_GB2312" w:cs="仿宋_GB2312"/>
          <w:sz w:val="28"/>
          <w:szCs w:val="28"/>
          <w:lang w:val="en-US" w:eastAsia="zh-CN"/>
        </w:rPr>
        <w:t>2021</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147</w:t>
      </w:r>
      <w:r>
        <w:rPr>
          <w:rFonts w:hint="eastAsia" w:ascii="仿宋_GB2312" w:hAnsi="仿宋_GB2312" w:eastAsia="仿宋_GB2312" w:cs="仿宋_GB2312"/>
          <w:sz w:val="28"/>
          <w:szCs w:val="28"/>
        </w:rPr>
        <w:t>号）的精神，结合学院实际，制定本办法。</w:t>
      </w:r>
    </w:p>
    <w:p w14:paraId="7857925E">
      <w:pPr>
        <w:pStyle w:val="5"/>
        <w:keepNext w:val="0"/>
        <w:keepLines w:val="0"/>
        <w:pageBreakBefore w:val="0"/>
        <w:kinsoku/>
        <w:wordWrap/>
        <w:overflowPunct/>
        <w:topLinePunct w:val="0"/>
        <w:autoSpaceDE/>
        <w:autoSpaceDN/>
        <w:bidi w:val="0"/>
        <w:adjustRightInd w:val="0"/>
        <w:snapToGrid w:val="0"/>
        <w:spacing w:before="0" w:beforeAutospacing="0" w:after="0" w:afterAutospacing="0" w:line="560" w:lineRule="atLeast"/>
        <w:ind w:firstLine="562" w:firstLineChars="200"/>
        <w:textAlignment w:val="auto"/>
        <w:rPr>
          <w:rFonts w:hint="eastAsia"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第二条</w:t>
      </w:r>
      <w:r>
        <w:rPr>
          <w:rFonts w:hint="eastAsia" w:ascii="仿宋_GB2312" w:hAnsi="仿宋_GB2312" w:eastAsia="仿宋_GB2312" w:cs="仿宋_GB2312"/>
          <w:color w:val="000000"/>
          <w:sz w:val="28"/>
          <w:szCs w:val="28"/>
        </w:rPr>
        <w:t xml:space="preserve">  本办法所称研究生是指</w:t>
      </w:r>
      <w:r>
        <w:rPr>
          <w:rFonts w:hint="eastAsia" w:ascii="仿宋_GB2312" w:hAnsi="仿宋_GB2312" w:eastAsia="仿宋_GB2312" w:cs="仿宋_GB2312"/>
          <w:sz w:val="28"/>
          <w:szCs w:val="28"/>
        </w:rPr>
        <w:t>我院纳入全国研究生招生计划、全日制（全脱产）培养、非定向就业的在读研究生</w:t>
      </w:r>
      <w:r>
        <w:rPr>
          <w:rFonts w:hint="eastAsia" w:ascii="仿宋_GB2312" w:hAnsi="仿宋_GB2312" w:eastAsia="仿宋_GB2312" w:cs="仿宋_GB2312"/>
          <w:color w:val="000000"/>
          <w:sz w:val="28"/>
          <w:szCs w:val="28"/>
        </w:rPr>
        <w:t>。获得奖励的研究生须具有中华人民共和国国籍。</w:t>
      </w:r>
    </w:p>
    <w:p w14:paraId="53CC20BF">
      <w:pPr>
        <w:pStyle w:val="5"/>
        <w:keepNext w:val="0"/>
        <w:keepLines w:val="0"/>
        <w:pageBreakBefore w:val="0"/>
        <w:kinsoku/>
        <w:wordWrap/>
        <w:overflowPunct/>
        <w:topLinePunct w:val="0"/>
        <w:autoSpaceDE/>
        <w:autoSpaceDN/>
        <w:bidi w:val="0"/>
        <w:adjustRightInd w:val="0"/>
        <w:snapToGrid w:val="0"/>
        <w:spacing w:before="0" w:beforeAutospacing="0" w:after="0" w:afterAutospacing="0" w:line="560" w:lineRule="atLeast"/>
        <w:ind w:firstLine="562"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b/>
          <w:sz w:val="28"/>
          <w:szCs w:val="28"/>
        </w:rPr>
        <w:t>第三条</w:t>
      </w:r>
      <w:r>
        <w:rPr>
          <w:rFonts w:hint="eastAsia" w:ascii="仿宋_GB2312" w:hAnsi="仿宋_GB2312" w:eastAsia="仿宋_GB2312" w:cs="仿宋_GB2312"/>
          <w:sz w:val="28"/>
          <w:szCs w:val="28"/>
        </w:rPr>
        <w:t xml:space="preserve">  研究生获得学业奖学金的总年限，不超过其基本学制规定的学习年限</w:t>
      </w:r>
      <w:r>
        <w:rPr>
          <w:rFonts w:hint="eastAsia" w:ascii="仿宋_GB2312" w:hAnsi="仿宋_GB2312" w:eastAsia="仿宋_GB2312" w:cs="仿宋_GB2312"/>
          <w:sz w:val="28"/>
          <w:szCs w:val="28"/>
          <w:highlight w:val="none"/>
        </w:rPr>
        <w:t>。我院硕士生基本学制年限为</w:t>
      </w:r>
      <w:r>
        <w:rPr>
          <w:rFonts w:hint="eastAsia" w:ascii="仿宋_GB2312" w:hAnsi="仿宋_GB2312" w:eastAsia="仿宋_GB2312" w:cs="仿宋_GB2312"/>
          <w:sz w:val="28"/>
          <w:szCs w:val="28"/>
          <w:highlight w:val="none"/>
          <w:lang w:val="en-US" w:eastAsia="zh-CN"/>
        </w:rPr>
        <w:t>3</w:t>
      </w:r>
      <w:r>
        <w:rPr>
          <w:rFonts w:hint="eastAsia" w:ascii="仿宋_GB2312" w:hAnsi="仿宋_GB2312" w:eastAsia="仿宋_GB2312" w:cs="仿宋_GB2312"/>
          <w:sz w:val="28"/>
          <w:szCs w:val="28"/>
          <w:highlight w:val="none"/>
        </w:rPr>
        <w:t>年。</w:t>
      </w:r>
    </w:p>
    <w:p w14:paraId="5A52D85A">
      <w:pPr>
        <w:pStyle w:val="5"/>
        <w:keepNext w:val="0"/>
        <w:keepLines w:val="0"/>
        <w:pageBreakBefore w:val="0"/>
        <w:kinsoku/>
        <w:wordWrap/>
        <w:overflowPunct/>
        <w:topLinePunct w:val="0"/>
        <w:autoSpaceDE/>
        <w:autoSpaceDN/>
        <w:bidi w:val="0"/>
        <w:adjustRightInd w:val="0"/>
        <w:snapToGrid w:val="0"/>
        <w:spacing w:before="0" w:beforeAutospacing="0" w:after="0" w:afterAutospacing="0" w:line="560" w:lineRule="atLeast"/>
        <w:ind w:firstLine="562"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b/>
          <w:sz w:val="28"/>
          <w:szCs w:val="28"/>
        </w:rPr>
        <w:t>第四条</w:t>
      </w:r>
      <w:r>
        <w:rPr>
          <w:rFonts w:hint="eastAsia" w:ascii="仿宋_GB2312" w:hAnsi="仿宋_GB2312" w:eastAsia="仿宋_GB2312" w:cs="仿宋_GB2312"/>
          <w:sz w:val="28"/>
          <w:szCs w:val="28"/>
        </w:rPr>
        <w:t xml:space="preserve">  获得学业奖学金奖励的研究生可以同时申请研究生国家奖学金等其他研究生国家奖助以及校内其他研究生奖助</w:t>
      </w:r>
      <w:r>
        <w:rPr>
          <w:rFonts w:hint="eastAsia" w:ascii="仿宋_GB2312" w:hAnsi="仿宋_GB2312" w:eastAsia="仿宋_GB2312" w:cs="仿宋_GB2312"/>
          <w:sz w:val="28"/>
          <w:szCs w:val="28"/>
          <w:lang w:val="en-US" w:eastAsia="zh-CN"/>
        </w:rPr>
        <w:t>项目</w:t>
      </w:r>
      <w:r>
        <w:rPr>
          <w:rFonts w:hint="eastAsia" w:ascii="仿宋_GB2312" w:hAnsi="仿宋_GB2312" w:eastAsia="仿宋_GB2312" w:cs="仿宋_GB2312"/>
          <w:sz w:val="28"/>
          <w:szCs w:val="28"/>
        </w:rPr>
        <w:t>。</w:t>
      </w:r>
    </w:p>
    <w:p w14:paraId="5CD5B537">
      <w:pPr>
        <w:pStyle w:val="5"/>
        <w:keepNext w:val="0"/>
        <w:keepLines w:val="0"/>
        <w:pageBreakBefore w:val="0"/>
        <w:kinsoku/>
        <w:wordWrap/>
        <w:overflowPunct/>
        <w:topLinePunct w:val="0"/>
        <w:autoSpaceDE/>
        <w:autoSpaceDN/>
        <w:bidi w:val="0"/>
        <w:adjustRightInd w:val="0"/>
        <w:snapToGrid w:val="0"/>
        <w:spacing w:before="0" w:beforeAutospacing="0" w:after="0" w:afterAutospacing="0" w:line="560" w:lineRule="atLeast"/>
        <w:ind w:firstLine="560" w:firstLineChars="200"/>
        <w:textAlignment w:val="auto"/>
        <w:rPr>
          <w:rFonts w:hint="eastAsia" w:ascii="仿宋_GB2312" w:hAnsi="仿宋_GB2312" w:eastAsia="仿宋_GB2312" w:cs="仿宋_GB2312"/>
          <w:color w:val="000000"/>
          <w:sz w:val="28"/>
          <w:szCs w:val="28"/>
        </w:rPr>
      </w:pPr>
    </w:p>
    <w:p w14:paraId="4F7E9B13">
      <w:pPr>
        <w:pStyle w:val="5"/>
        <w:keepNext w:val="0"/>
        <w:keepLines w:val="0"/>
        <w:pageBreakBefore w:val="0"/>
        <w:kinsoku/>
        <w:wordWrap/>
        <w:overflowPunct/>
        <w:topLinePunct w:val="0"/>
        <w:autoSpaceDE/>
        <w:autoSpaceDN/>
        <w:bidi w:val="0"/>
        <w:adjustRightInd w:val="0"/>
        <w:snapToGrid w:val="0"/>
        <w:spacing w:before="0" w:beforeAutospacing="0" w:after="0" w:afterAutospacing="0" w:line="560" w:lineRule="atLeast"/>
        <w:jc w:val="center"/>
        <w:textAlignment w:val="auto"/>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第二章  奖励类型、等级、标准和比例</w:t>
      </w:r>
    </w:p>
    <w:p w14:paraId="6468E48C">
      <w:pPr>
        <w:pStyle w:val="5"/>
        <w:keepNext w:val="0"/>
        <w:keepLines w:val="0"/>
        <w:pageBreakBefore w:val="0"/>
        <w:kinsoku/>
        <w:wordWrap/>
        <w:overflowPunct/>
        <w:topLinePunct w:val="0"/>
        <w:autoSpaceDE/>
        <w:autoSpaceDN/>
        <w:bidi w:val="0"/>
        <w:adjustRightInd w:val="0"/>
        <w:snapToGrid w:val="0"/>
        <w:spacing w:before="0" w:beforeAutospacing="0" w:after="0" w:afterAutospacing="0" w:line="560" w:lineRule="atLeast"/>
        <w:ind w:firstLine="551" w:firstLineChars="196"/>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b/>
          <w:color w:val="000000"/>
          <w:sz w:val="28"/>
          <w:szCs w:val="28"/>
        </w:rPr>
        <w:t>第五条</w:t>
      </w:r>
      <w:r>
        <w:rPr>
          <w:rFonts w:hint="eastAsia" w:ascii="仿宋_GB2312" w:hAnsi="仿宋_GB2312" w:eastAsia="仿宋_GB2312" w:cs="仿宋_GB2312"/>
          <w:color w:val="000000"/>
          <w:sz w:val="28"/>
          <w:szCs w:val="28"/>
        </w:rPr>
        <w:t xml:space="preserve">  根据学校和学院实际，我院研究生学业奖学金设研究生新生学业奖学金和研究生学年学业奖学金两种类型。</w:t>
      </w:r>
    </w:p>
    <w:p w14:paraId="1216221D">
      <w:pPr>
        <w:pStyle w:val="5"/>
        <w:keepNext w:val="0"/>
        <w:keepLines w:val="0"/>
        <w:pageBreakBefore w:val="0"/>
        <w:kinsoku/>
        <w:wordWrap/>
        <w:overflowPunct/>
        <w:topLinePunct w:val="0"/>
        <w:autoSpaceDE/>
        <w:autoSpaceDN/>
        <w:bidi w:val="0"/>
        <w:adjustRightInd w:val="0"/>
        <w:snapToGrid w:val="0"/>
        <w:spacing w:before="0" w:beforeAutospacing="0" w:after="0" w:afterAutospacing="0" w:line="560" w:lineRule="atLeast"/>
        <w:ind w:firstLine="551" w:firstLineChars="196"/>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b/>
          <w:color w:val="000000"/>
          <w:sz w:val="28"/>
          <w:szCs w:val="28"/>
        </w:rPr>
        <w:t>第六条</w:t>
      </w:r>
      <w:r>
        <w:rPr>
          <w:rFonts w:hint="eastAsia" w:ascii="仿宋_GB2312" w:hAnsi="仿宋_GB2312" w:eastAsia="仿宋_GB2312" w:cs="仿宋_GB2312"/>
          <w:color w:val="000000"/>
          <w:sz w:val="28"/>
          <w:szCs w:val="28"/>
        </w:rPr>
        <w:t xml:space="preserve">  研究生新生学业奖学金奖励等级、标准和比例</w:t>
      </w:r>
    </w:p>
    <w:p w14:paraId="006EFFE9">
      <w:pPr>
        <w:pStyle w:val="5"/>
        <w:keepNext w:val="0"/>
        <w:keepLines w:val="0"/>
        <w:pageBreakBefore w:val="0"/>
        <w:kinsoku/>
        <w:wordWrap/>
        <w:overflowPunct/>
        <w:topLinePunct w:val="0"/>
        <w:autoSpaceDE/>
        <w:autoSpaceDN/>
        <w:bidi w:val="0"/>
        <w:adjustRightInd w:val="0"/>
        <w:snapToGrid w:val="0"/>
        <w:spacing w:before="0" w:beforeAutospacing="0" w:after="0" w:afterAutospacing="0" w:line="560" w:lineRule="atLeas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硕士生（含学术性学位、专业学位，下同）</w:t>
      </w:r>
      <w:r>
        <w:rPr>
          <w:rFonts w:hint="eastAsia" w:ascii="仿宋_GB2312" w:hAnsi="仿宋_GB2312" w:eastAsia="仿宋_GB2312" w:cs="仿宋_GB2312"/>
          <w:sz w:val="28"/>
          <w:szCs w:val="28"/>
        </w:rPr>
        <w:t>新生学业奖学金发放对象为一年级硕士研究生，按</w:t>
      </w:r>
      <w:r>
        <w:rPr>
          <w:rFonts w:hint="eastAsia" w:ascii="仿宋_GB2312" w:hAnsi="仿宋_GB2312" w:eastAsia="仿宋_GB2312" w:cs="仿宋_GB2312"/>
          <w:color w:val="000000"/>
          <w:sz w:val="28"/>
          <w:szCs w:val="28"/>
        </w:rPr>
        <w:t>一志愿考生（含推免生）和调剂志愿考生两档</w:t>
      </w:r>
      <w:r>
        <w:rPr>
          <w:rFonts w:hint="eastAsia" w:ascii="仿宋_GB2312" w:hAnsi="仿宋_GB2312" w:eastAsia="仿宋_GB2312" w:cs="仿宋_GB2312"/>
          <w:sz w:val="28"/>
          <w:szCs w:val="28"/>
        </w:rPr>
        <w:t>实施。</w:t>
      </w:r>
    </w:p>
    <w:p w14:paraId="0FCFB411">
      <w:pPr>
        <w:pStyle w:val="5"/>
        <w:keepNext w:val="0"/>
        <w:keepLines w:val="0"/>
        <w:pageBreakBefore w:val="0"/>
        <w:kinsoku/>
        <w:wordWrap/>
        <w:overflowPunct/>
        <w:topLinePunct w:val="0"/>
        <w:autoSpaceDE/>
        <w:autoSpaceDN/>
        <w:bidi w:val="0"/>
        <w:adjustRightInd w:val="0"/>
        <w:snapToGrid w:val="0"/>
        <w:spacing w:before="0" w:beforeAutospacing="0" w:after="0" w:afterAutospacing="0" w:line="560" w:lineRule="atLeast"/>
        <w:ind w:firstLine="560" w:firstLineChars="200"/>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硕士生新生学业奖学金奖励等级、标准和比例：</w:t>
      </w:r>
    </w:p>
    <w:tbl>
      <w:tblPr>
        <w:tblStyle w:val="6"/>
        <w:tblW w:w="5969" w:type="dxa"/>
        <w:jc w:val="center"/>
        <w:tblLayout w:type="autofit"/>
        <w:tblCellMar>
          <w:top w:w="0" w:type="dxa"/>
          <w:left w:w="0" w:type="dxa"/>
          <w:bottom w:w="0" w:type="dxa"/>
          <w:right w:w="0" w:type="dxa"/>
        </w:tblCellMar>
      </w:tblPr>
      <w:tblGrid>
        <w:gridCol w:w="2727"/>
        <w:gridCol w:w="1709"/>
        <w:gridCol w:w="1533"/>
      </w:tblGrid>
      <w:tr w14:paraId="6233E61D">
        <w:tblPrEx>
          <w:tblCellMar>
            <w:top w:w="0" w:type="dxa"/>
            <w:left w:w="0" w:type="dxa"/>
            <w:bottom w:w="0" w:type="dxa"/>
            <w:right w:w="0" w:type="dxa"/>
          </w:tblCellMar>
        </w:tblPrEx>
        <w:trPr>
          <w:trHeight w:val="388" w:hRule="atLeast"/>
          <w:jc w:val="center"/>
        </w:trPr>
        <w:tc>
          <w:tcPr>
            <w:tcW w:w="2727" w:type="dxa"/>
            <w:tcBorders>
              <w:top w:val="single" w:color="000000" w:sz="8" w:space="0"/>
              <w:left w:val="single" w:color="000000" w:sz="8" w:space="0"/>
              <w:bottom w:val="single" w:color="000000" w:sz="8" w:space="0"/>
              <w:right w:val="single" w:color="000000" w:sz="8" w:space="0"/>
            </w:tcBorders>
            <w:noWrap w:val="0"/>
            <w:tcMar>
              <w:top w:w="10" w:type="dxa"/>
              <w:left w:w="108" w:type="dxa"/>
              <w:bottom w:w="0" w:type="dxa"/>
              <w:right w:w="108" w:type="dxa"/>
            </w:tcMar>
            <w:vAlign w:val="center"/>
          </w:tcPr>
          <w:p w14:paraId="5850113A">
            <w:pPr>
              <w:keepNext w:val="0"/>
              <w:keepLines w:val="0"/>
              <w:pageBreakBefore w:val="0"/>
              <w:kinsoku/>
              <w:wordWrap/>
              <w:overflowPunct/>
              <w:topLinePunct w:val="0"/>
              <w:autoSpaceDE/>
              <w:autoSpaceDN/>
              <w:bidi w:val="0"/>
              <w:adjustRightInd w:val="0"/>
              <w:snapToGrid w:val="0"/>
              <w:spacing w:line="560" w:lineRule="atLeas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报考学校志愿</w:t>
            </w:r>
          </w:p>
        </w:tc>
        <w:tc>
          <w:tcPr>
            <w:tcW w:w="1709" w:type="dxa"/>
            <w:tcBorders>
              <w:top w:val="single" w:color="000000" w:sz="8" w:space="0"/>
              <w:left w:val="single" w:color="000000" w:sz="8" w:space="0"/>
              <w:bottom w:val="single" w:color="000000" w:sz="8" w:space="0"/>
              <w:right w:val="single" w:color="000000" w:sz="8" w:space="0"/>
            </w:tcBorders>
            <w:noWrap w:val="0"/>
            <w:tcMar>
              <w:top w:w="10" w:type="dxa"/>
              <w:left w:w="108" w:type="dxa"/>
              <w:bottom w:w="0" w:type="dxa"/>
              <w:right w:w="108" w:type="dxa"/>
            </w:tcMar>
            <w:vAlign w:val="center"/>
          </w:tcPr>
          <w:p w14:paraId="1EF31EE9">
            <w:pPr>
              <w:keepNext w:val="0"/>
              <w:keepLines w:val="0"/>
              <w:pageBreakBefore w:val="0"/>
              <w:kinsoku/>
              <w:wordWrap/>
              <w:overflowPunct/>
              <w:topLinePunct w:val="0"/>
              <w:autoSpaceDE/>
              <w:autoSpaceDN/>
              <w:bidi w:val="0"/>
              <w:adjustRightInd w:val="0"/>
              <w:snapToGrid w:val="0"/>
              <w:spacing w:line="560" w:lineRule="atLeas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奖励标准</w:t>
            </w:r>
          </w:p>
        </w:tc>
        <w:tc>
          <w:tcPr>
            <w:tcW w:w="1533" w:type="dxa"/>
            <w:tcBorders>
              <w:top w:val="single" w:color="000000" w:sz="8" w:space="0"/>
              <w:left w:val="single" w:color="000000" w:sz="8" w:space="0"/>
              <w:bottom w:val="single" w:color="000000" w:sz="8" w:space="0"/>
              <w:right w:val="single" w:color="000000" w:sz="8" w:space="0"/>
            </w:tcBorders>
            <w:noWrap w:val="0"/>
            <w:tcMar>
              <w:top w:w="10" w:type="dxa"/>
              <w:left w:w="108" w:type="dxa"/>
              <w:bottom w:w="0" w:type="dxa"/>
              <w:right w:w="108" w:type="dxa"/>
            </w:tcMar>
            <w:vAlign w:val="center"/>
          </w:tcPr>
          <w:p w14:paraId="0B4EB878">
            <w:pPr>
              <w:keepNext w:val="0"/>
              <w:keepLines w:val="0"/>
              <w:pageBreakBefore w:val="0"/>
              <w:kinsoku/>
              <w:wordWrap/>
              <w:overflowPunct/>
              <w:topLinePunct w:val="0"/>
              <w:autoSpaceDE/>
              <w:autoSpaceDN/>
              <w:bidi w:val="0"/>
              <w:adjustRightInd w:val="0"/>
              <w:snapToGrid w:val="0"/>
              <w:spacing w:line="560" w:lineRule="atLeas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奖励比例</w:t>
            </w:r>
          </w:p>
        </w:tc>
      </w:tr>
      <w:tr w14:paraId="7EAE6847">
        <w:tblPrEx>
          <w:tblCellMar>
            <w:top w:w="0" w:type="dxa"/>
            <w:left w:w="0" w:type="dxa"/>
            <w:bottom w:w="0" w:type="dxa"/>
            <w:right w:w="0" w:type="dxa"/>
          </w:tblCellMar>
        </w:tblPrEx>
        <w:trPr>
          <w:trHeight w:val="436" w:hRule="atLeast"/>
          <w:jc w:val="center"/>
        </w:trPr>
        <w:tc>
          <w:tcPr>
            <w:tcW w:w="2727" w:type="dxa"/>
            <w:tcBorders>
              <w:top w:val="single" w:color="000000" w:sz="8" w:space="0"/>
              <w:left w:val="single" w:color="000000" w:sz="8" w:space="0"/>
              <w:bottom w:val="single" w:color="000000" w:sz="8" w:space="0"/>
              <w:right w:val="single" w:color="000000" w:sz="8" w:space="0"/>
            </w:tcBorders>
            <w:noWrap w:val="0"/>
            <w:tcMar>
              <w:top w:w="10" w:type="dxa"/>
              <w:left w:w="108" w:type="dxa"/>
              <w:bottom w:w="0" w:type="dxa"/>
              <w:right w:w="108" w:type="dxa"/>
            </w:tcMar>
            <w:vAlign w:val="center"/>
          </w:tcPr>
          <w:p w14:paraId="52DE8AEC">
            <w:pPr>
              <w:keepNext w:val="0"/>
              <w:keepLines w:val="0"/>
              <w:pageBreakBefore w:val="0"/>
              <w:kinsoku/>
              <w:wordWrap/>
              <w:overflowPunct/>
              <w:topLinePunct w:val="0"/>
              <w:autoSpaceDE/>
              <w:autoSpaceDN/>
              <w:bidi w:val="0"/>
              <w:adjustRightInd w:val="0"/>
              <w:snapToGrid w:val="0"/>
              <w:spacing w:line="560" w:lineRule="atLeas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一志愿（含推免生）</w:t>
            </w:r>
          </w:p>
        </w:tc>
        <w:tc>
          <w:tcPr>
            <w:tcW w:w="1709" w:type="dxa"/>
            <w:tcBorders>
              <w:top w:val="single" w:color="000000" w:sz="8" w:space="0"/>
              <w:left w:val="single" w:color="000000" w:sz="8" w:space="0"/>
              <w:bottom w:val="single" w:color="000000" w:sz="8" w:space="0"/>
              <w:right w:val="single" w:color="000000" w:sz="8" w:space="0"/>
            </w:tcBorders>
            <w:noWrap w:val="0"/>
            <w:tcMar>
              <w:top w:w="10" w:type="dxa"/>
              <w:left w:w="108" w:type="dxa"/>
              <w:bottom w:w="0" w:type="dxa"/>
              <w:right w:w="108" w:type="dxa"/>
            </w:tcMar>
            <w:vAlign w:val="center"/>
          </w:tcPr>
          <w:p w14:paraId="598F2F90">
            <w:pPr>
              <w:keepNext w:val="0"/>
              <w:keepLines w:val="0"/>
              <w:pageBreakBefore w:val="0"/>
              <w:kinsoku/>
              <w:wordWrap/>
              <w:overflowPunct/>
              <w:topLinePunct w:val="0"/>
              <w:autoSpaceDE/>
              <w:autoSpaceDN/>
              <w:bidi w:val="0"/>
              <w:adjustRightInd w:val="0"/>
              <w:snapToGrid w:val="0"/>
              <w:spacing w:line="560" w:lineRule="atLeas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学费的100%</w:t>
            </w:r>
          </w:p>
        </w:tc>
        <w:tc>
          <w:tcPr>
            <w:tcW w:w="1533" w:type="dxa"/>
            <w:vMerge w:val="restart"/>
            <w:tcBorders>
              <w:top w:val="single" w:color="000000" w:sz="8" w:space="0"/>
              <w:left w:val="single" w:color="000000" w:sz="8" w:space="0"/>
              <w:bottom w:val="single" w:color="000000" w:sz="8" w:space="0"/>
              <w:right w:val="single" w:color="000000" w:sz="8" w:space="0"/>
            </w:tcBorders>
            <w:noWrap w:val="0"/>
            <w:tcMar>
              <w:top w:w="10" w:type="dxa"/>
              <w:left w:w="108" w:type="dxa"/>
              <w:bottom w:w="0" w:type="dxa"/>
              <w:right w:w="108" w:type="dxa"/>
            </w:tcMar>
            <w:vAlign w:val="center"/>
          </w:tcPr>
          <w:p w14:paraId="501AC73A">
            <w:pPr>
              <w:keepNext w:val="0"/>
              <w:keepLines w:val="0"/>
              <w:pageBreakBefore w:val="0"/>
              <w:kinsoku/>
              <w:wordWrap/>
              <w:overflowPunct/>
              <w:topLinePunct w:val="0"/>
              <w:autoSpaceDE/>
              <w:autoSpaceDN/>
              <w:bidi w:val="0"/>
              <w:adjustRightInd w:val="0"/>
              <w:snapToGrid w:val="0"/>
              <w:spacing w:line="560" w:lineRule="atLeas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100%</w:t>
            </w:r>
          </w:p>
        </w:tc>
      </w:tr>
      <w:tr w14:paraId="589726EA">
        <w:tblPrEx>
          <w:tblCellMar>
            <w:top w:w="0" w:type="dxa"/>
            <w:left w:w="0" w:type="dxa"/>
            <w:bottom w:w="0" w:type="dxa"/>
            <w:right w:w="0" w:type="dxa"/>
          </w:tblCellMar>
        </w:tblPrEx>
        <w:trPr>
          <w:trHeight w:val="428" w:hRule="atLeast"/>
          <w:jc w:val="center"/>
        </w:trPr>
        <w:tc>
          <w:tcPr>
            <w:tcW w:w="2727" w:type="dxa"/>
            <w:tcBorders>
              <w:top w:val="single" w:color="000000" w:sz="8" w:space="0"/>
              <w:left w:val="single" w:color="000000" w:sz="8" w:space="0"/>
              <w:bottom w:val="single" w:color="000000" w:sz="8" w:space="0"/>
              <w:right w:val="single" w:color="000000" w:sz="8" w:space="0"/>
            </w:tcBorders>
            <w:noWrap w:val="0"/>
            <w:tcMar>
              <w:top w:w="10" w:type="dxa"/>
              <w:left w:w="108" w:type="dxa"/>
              <w:bottom w:w="0" w:type="dxa"/>
              <w:right w:w="108" w:type="dxa"/>
            </w:tcMar>
            <w:vAlign w:val="center"/>
          </w:tcPr>
          <w:p w14:paraId="5C7E3008">
            <w:pPr>
              <w:keepNext w:val="0"/>
              <w:keepLines w:val="0"/>
              <w:pageBreakBefore w:val="0"/>
              <w:kinsoku/>
              <w:wordWrap/>
              <w:overflowPunct/>
              <w:topLinePunct w:val="0"/>
              <w:autoSpaceDE/>
              <w:autoSpaceDN/>
              <w:bidi w:val="0"/>
              <w:adjustRightInd w:val="0"/>
              <w:snapToGrid w:val="0"/>
              <w:spacing w:line="560" w:lineRule="atLeas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调剂志愿</w:t>
            </w:r>
          </w:p>
        </w:tc>
        <w:tc>
          <w:tcPr>
            <w:tcW w:w="1709" w:type="dxa"/>
            <w:tcBorders>
              <w:top w:val="single" w:color="000000" w:sz="8" w:space="0"/>
              <w:left w:val="single" w:color="000000" w:sz="8" w:space="0"/>
              <w:bottom w:val="single" w:color="000000" w:sz="8" w:space="0"/>
              <w:right w:val="single" w:color="000000" w:sz="8" w:space="0"/>
            </w:tcBorders>
            <w:noWrap w:val="0"/>
            <w:tcMar>
              <w:top w:w="10" w:type="dxa"/>
              <w:left w:w="108" w:type="dxa"/>
              <w:bottom w:w="0" w:type="dxa"/>
              <w:right w:w="108" w:type="dxa"/>
            </w:tcMar>
            <w:vAlign w:val="center"/>
          </w:tcPr>
          <w:p w14:paraId="1F163B17">
            <w:pPr>
              <w:keepNext w:val="0"/>
              <w:keepLines w:val="0"/>
              <w:pageBreakBefore w:val="0"/>
              <w:kinsoku/>
              <w:wordWrap/>
              <w:overflowPunct/>
              <w:topLinePunct w:val="0"/>
              <w:autoSpaceDE/>
              <w:autoSpaceDN/>
              <w:bidi w:val="0"/>
              <w:adjustRightInd w:val="0"/>
              <w:snapToGrid w:val="0"/>
              <w:spacing w:line="560" w:lineRule="atLeas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学费的80%</w:t>
            </w:r>
          </w:p>
        </w:tc>
        <w:tc>
          <w:tcPr>
            <w:tcW w:w="1533" w:type="dxa"/>
            <w:vMerge w:val="continue"/>
            <w:tcBorders>
              <w:top w:val="single" w:color="000000" w:sz="8" w:space="0"/>
              <w:left w:val="single" w:color="000000" w:sz="8" w:space="0"/>
              <w:bottom w:val="single" w:color="000000" w:sz="8" w:space="0"/>
              <w:right w:val="single" w:color="000000" w:sz="8" w:space="0"/>
            </w:tcBorders>
            <w:noWrap w:val="0"/>
            <w:vAlign w:val="center"/>
          </w:tcPr>
          <w:p w14:paraId="2514F9DC">
            <w:pPr>
              <w:keepNext w:val="0"/>
              <w:keepLines w:val="0"/>
              <w:pageBreakBefore w:val="0"/>
              <w:kinsoku/>
              <w:wordWrap/>
              <w:overflowPunct/>
              <w:topLinePunct w:val="0"/>
              <w:autoSpaceDE/>
              <w:autoSpaceDN/>
              <w:bidi w:val="0"/>
              <w:adjustRightInd w:val="0"/>
              <w:snapToGrid w:val="0"/>
              <w:spacing w:line="560" w:lineRule="atLeast"/>
              <w:textAlignment w:val="auto"/>
              <w:rPr>
                <w:rFonts w:hint="eastAsia" w:ascii="仿宋_GB2312" w:hAnsi="仿宋_GB2312" w:eastAsia="仿宋_GB2312" w:cs="仿宋_GB2312"/>
                <w:sz w:val="28"/>
                <w:szCs w:val="28"/>
              </w:rPr>
            </w:pPr>
          </w:p>
        </w:tc>
      </w:tr>
    </w:tbl>
    <w:p w14:paraId="4A2A8CDF">
      <w:pPr>
        <w:pStyle w:val="5"/>
        <w:keepNext w:val="0"/>
        <w:keepLines w:val="0"/>
        <w:pageBreakBefore w:val="0"/>
        <w:kinsoku/>
        <w:wordWrap/>
        <w:overflowPunct/>
        <w:topLinePunct w:val="0"/>
        <w:autoSpaceDE/>
        <w:autoSpaceDN/>
        <w:bidi w:val="0"/>
        <w:adjustRightInd w:val="0"/>
        <w:snapToGrid w:val="0"/>
        <w:spacing w:before="0" w:beforeAutospacing="0" w:after="0" w:afterAutospacing="0" w:line="560" w:lineRule="atLeast"/>
        <w:ind w:firstLine="562" w:firstLineChars="200"/>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b/>
          <w:color w:val="000000"/>
          <w:sz w:val="28"/>
          <w:szCs w:val="28"/>
        </w:rPr>
        <w:t>第七条</w:t>
      </w:r>
      <w:r>
        <w:rPr>
          <w:rFonts w:hint="eastAsia" w:ascii="仿宋_GB2312" w:hAnsi="仿宋_GB2312" w:eastAsia="仿宋_GB2312" w:cs="仿宋_GB2312"/>
          <w:color w:val="000000"/>
          <w:sz w:val="28"/>
          <w:szCs w:val="28"/>
        </w:rPr>
        <w:t xml:space="preserve">  学校研究生学年学业奖学金奖励等级、标准和比例</w:t>
      </w:r>
    </w:p>
    <w:tbl>
      <w:tblPr>
        <w:tblStyle w:val="6"/>
        <w:tblW w:w="78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75"/>
        <w:gridCol w:w="1687"/>
        <w:gridCol w:w="1993"/>
        <w:gridCol w:w="2261"/>
      </w:tblGrid>
      <w:tr w14:paraId="5A796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1875" w:type="dxa"/>
            <w:tcBorders>
              <w:top w:val="single" w:color="auto" w:sz="4" w:space="0"/>
              <w:left w:val="single" w:color="auto" w:sz="4" w:space="0"/>
              <w:right w:val="single" w:color="auto" w:sz="4" w:space="0"/>
            </w:tcBorders>
            <w:noWrap w:val="0"/>
            <w:vAlign w:val="center"/>
          </w:tcPr>
          <w:p w14:paraId="3FF36FA8">
            <w:pPr>
              <w:keepNext w:val="0"/>
              <w:keepLines w:val="0"/>
              <w:pageBreakBefore w:val="0"/>
              <w:widowControl/>
              <w:tabs>
                <w:tab w:val="left" w:pos="180"/>
                <w:tab w:val="left" w:pos="720"/>
              </w:tabs>
              <w:kinsoku/>
              <w:wordWrap/>
              <w:overflowPunct/>
              <w:topLinePunct w:val="0"/>
              <w:autoSpaceDE/>
              <w:autoSpaceDN/>
              <w:bidi w:val="0"/>
              <w:adjustRightInd w:val="0"/>
              <w:snapToGrid w:val="0"/>
              <w:spacing w:line="560" w:lineRule="atLeast"/>
              <w:jc w:val="center"/>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类 别</w:t>
            </w:r>
          </w:p>
        </w:tc>
        <w:tc>
          <w:tcPr>
            <w:tcW w:w="1687" w:type="dxa"/>
            <w:tcBorders>
              <w:top w:val="single" w:color="auto" w:sz="4" w:space="0"/>
              <w:left w:val="single" w:color="auto" w:sz="4" w:space="0"/>
              <w:right w:val="single" w:color="auto" w:sz="4" w:space="0"/>
            </w:tcBorders>
            <w:noWrap w:val="0"/>
            <w:vAlign w:val="center"/>
          </w:tcPr>
          <w:p w14:paraId="6865DB1F">
            <w:pPr>
              <w:keepNext w:val="0"/>
              <w:keepLines w:val="0"/>
              <w:pageBreakBefore w:val="0"/>
              <w:tabs>
                <w:tab w:val="left" w:pos="180"/>
                <w:tab w:val="left" w:pos="720"/>
              </w:tabs>
              <w:kinsoku/>
              <w:wordWrap/>
              <w:overflowPunct/>
              <w:topLinePunct w:val="0"/>
              <w:autoSpaceDE/>
              <w:autoSpaceDN/>
              <w:bidi w:val="0"/>
              <w:adjustRightInd w:val="0"/>
              <w:snapToGrid w:val="0"/>
              <w:spacing w:line="560" w:lineRule="atLeast"/>
              <w:jc w:val="center"/>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等 级</w:t>
            </w:r>
          </w:p>
        </w:tc>
        <w:tc>
          <w:tcPr>
            <w:tcW w:w="1993" w:type="dxa"/>
            <w:tcBorders>
              <w:top w:val="single" w:color="auto" w:sz="4" w:space="0"/>
              <w:left w:val="single" w:color="auto" w:sz="4" w:space="0"/>
              <w:right w:val="single" w:color="auto" w:sz="4" w:space="0"/>
            </w:tcBorders>
            <w:noWrap w:val="0"/>
            <w:vAlign w:val="center"/>
          </w:tcPr>
          <w:p w14:paraId="4468F4BD">
            <w:pPr>
              <w:keepNext w:val="0"/>
              <w:keepLines w:val="0"/>
              <w:pageBreakBefore w:val="0"/>
              <w:widowControl/>
              <w:kinsoku/>
              <w:wordWrap/>
              <w:overflowPunct/>
              <w:topLinePunct w:val="0"/>
              <w:autoSpaceDE/>
              <w:autoSpaceDN/>
              <w:bidi w:val="0"/>
              <w:adjustRightInd w:val="0"/>
              <w:snapToGrid w:val="0"/>
              <w:spacing w:line="560" w:lineRule="atLeast"/>
              <w:jc w:val="center"/>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奖励标准</w:t>
            </w:r>
          </w:p>
        </w:tc>
        <w:tc>
          <w:tcPr>
            <w:tcW w:w="2261" w:type="dxa"/>
            <w:tcBorders>
              <w:top w:val="single" w:color="auto" w:sz="4" w:space="0"/>
              <w:left w:val="single" w:color="auto" w:sz="4" w:space="0"/>
              <w:right w:val="single" w:color="auto" w:sz="4" w:space="0"/>
            </w:tcBorders>
            <w:noWrap w:val="0"/>
            <w:vAlign w:val="center"/>
          </w:tcPr>
          <w:p w14:paraId="623DE44D">
            <w:pPr>
              <w:keepNext w:val="0"/>
              <w:keepLines w:val="0"/>
              <w:pageBreakBefore w:val="0"/>
              <w:widowControl/>
              <w:tabs>
                <w:tab w:val="left" w:pos="180"/>
                <w:tab w:val="left" w:pos="720"/>
              </w:tabs>
              <w:kinsoku/>
              <w:wordWrap/>
              <w:overflowPunct/>
              <w:topLinePunct w:val="0"/>
              <w:autoSpaceDE/>
              <w:autoSpaceDN/>
              <w:bidi w:val="0"/>
              <w:adjustRightInd w:val="0"/>
              <w:snapToGrid w:val="0"/>
              <w:spacing w:line="560" w:lineRule="atLeast"/>
              <w:jc w:val="center"/>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奖励比例</w:t>
            </w:r>
          </w:p>
        </w:tc>
      </w:tr>
      <w:tr w14:paraId="659CA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jc w:val="center"/>
        </w:trPr>
        <w:tc>
          <w:tcPr>
            <w:tcW w:w="1875" w:type="dxa"/>
            <w:vMerge w:val="restart"/>
            <w:tcBorders>
              <w:left w:val="single" w:color="auto" w:sz="4" w:space="0"/>
              <w:bottom w:val="single" w:color="auto" w:sz="4" w:space="0"/>
              <w:right w:val="single" w:color="auto" w:sz="4" w:space="0"/>
            </w:tcBorders>
            <w:noWrap w:val="0"/>
            <w:vAlign w:val="center"/>
          </w:tcPr>
          <w:p w14:paraId="27BBC2A2">
            <w:pPr>
              <w:keepNext w:val="0"/>
              <w:keepLines w:val="0"/>
              <w:pageBreakBefore w:val="0"/>
              <w:tabs>
                <w:tab w:val="left" w:pos="180"/>
                <w:tab w:val="left" w:pos="720"/>
              </w:tabs>
              <w:kinsoku/>
              <w:wordWrap/>
              <w:overflowPunct/>
              <w:topLinePunct w:val="0"/>
              <w:autoSpaceDE/>
              <w:autoSpaceDN/>
              <w:bidi w:val="0"/>
              <w:adjustRightInd w:val="0"/>
              <w:snapToGrid w:val="0"/>
              <w:spacing w:line="560" w:lineRule="atLeast"/>
              <w:jc w:val="center"/>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硕士生</w:t>
            </w:r>
          </w:p>
        </w:tc>
        <w:tc>
          <w:tcPr>
            <w:tcW w:w="1687" w:type="dxa"/>
            <w:tcBorders>
              <w:top w:val="single" w:color="auto" w:sz="4" w:space="0"/>
              <w:left w:val="single" w:color="auto" w:sz="4" w:space="0"/>
              <w:bottom w:val="single" w:color="auto" w:sz="4" w:space="0"/>
              <w:right w:val="single" w:color="auto" w:sz="4" w:space="0"/>
            </w:tcBorders>
            <w:noWrap w:val="0"/>
            <w:vAlign w:val="center"/>
          </w:tcPr>
          <w:p w14:paraId="6EDF38BE">
            <w:pPr>
              <w:keepNext w:val="0"/>
              <w:keepLines w:val="0"/>
              <w:pageBreakBefore w:val="0"/>
              <w:widowControl/>
              <w:kinsoku/>
              <w:wordWrap/>
              <w:overflowPunct/>
              <w:topLinePunct w:val="0"/>
              <w:autoSpaceDE/>
              <w:autoSpaceDN/>
              <w:bidi w:val="0"/>
              <w:adjustRightInd w:val="0"/>
              <w:snapToGrid w:val="0"/>
              <w:spacing w:line="560" w:lineRule="atLeast"/>
              <w:jc w:val="center"/>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一等</w:t>
            </w:r>
          </w:p>
        </w:tc>
        <w:tc>
          <w:tcPr>
            <w:tcW w:w="1993" w:type="dxa"/>
            <w:tcBorders>
              <w:top w:val="single" w:color="auto" w:sz="4" w:space="0"/>
              <w:left w:val="single" w:color="auto" w:sz="4" w:space="0"/>
              <w:bottom w:val="single" w:color="auto" w:sz="4" w:space="0"/>
              <w:right w:val="single" w:color="auto" w:sz="4" w:space="0"/>
            </w:tcBorders>
            <w:noWrap w:val="0"/>
            <w:vAlign w:val="center"/>
          </w:tcPr>
          <w:p w14:paraId="37AA4F3C">
            <w:pPr>
              <w:keepNext w:val="0"/>
              <w:keepLines w:val="0"/>
              <w:pageBreakBefore w:val="0"/>
              <w:widowControl/>
              <w:tabs>
                <w:tab w:val="left" w:pos="180"/>
                <w:tab w:val="left" w:pos="720"/>
              </w:tabs>
              <w:kinsoku/>
              <w:wordWrap/>
              <w:overflowPunct/>
              <w:topLinePunct w:val="0"/>
              <w:autoSpaceDE/>
              <w:autoSpaceDN/>
              <w:bidi w:val="0"/>
              <w:adjustRightInd w:val="0"/>
              <w:snapToGrid w:val="0"/>
              <w:spacing w:line="560" w:lineRule="atLeast"/>
              <w:jc w:val="center"/>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12000元/年</w:t>
            </w:r>
          </w:p>
        </w:tc>
        <w:tc>
          <w:tcPr>
            <w:tcW w:w="2261" w:type="dxa"/>
            <w:tcBorders>
              <w:top w:val="single" w:color="auto" w:sz="4" w:space="0"/>
              <w:left w:val="single" w:color="auto" w:sz="4" w:space="0"/>
              <w:bottom w:val="single" w:color="auto" w:sz="4" w:space="0"/>
              <w:right w:val="single" w:color="auto" w:sz="4" w:space="0"/>
            </w:tcBorders>
            <w:noWrap w:val="0"/>
            <w:vAlign w:val="center"/>
          </w:tcPr>
          <w:p w14:paraId="696A69E1">
            <w:pPr>
              <w:keepNext w:val="0"/>
              <w:keepLines w:val="0"/>
              <w:pageBreakBefore w:val="0"/>
              <w:widowControl/>
              <w:tabs>
                <w:tab w:val="left" w:pos="180"/>
                <w:tab w:val="left" w:pos="720"/>
              </w:tabs>
              <w:kinsoku/>
              <w:wordWrap/>
              <w:overflowPunct/>
              <w:topLinePunct w:val="0"/>
              <w:autoSpaceDE/>
              <w:autoSpaceDN/>
              <w:bidi w:val="0"/>
              <w:adjustRightInd w:val="0"/>
              <w:snapToGrid w:val="0"/>
              <w:spacing w:line="560" w:lineRule="atLeast"/>
              <w:jc w:val="center"/>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20%</w:t>
            </w:r>
          </w:p>
        </w:tc>
      </w:tr>
      <w:tr w14:paraId="4B2F0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jc w:val="center"/>
        </w:trPr>
        <w:tc>
          <w:tcPr>
            <w:tcW w:w="1875" w:type="dxa"/>
            <w:vMerge w:val="continue"/>
            <w:tcBorders>
              <w:left w:val="single" w:color="auto" w:sz="4" w:space="0"/>
              <w:bottom w:val="single" w:color="auto" w:sz="4" w:space="0"/>
              <w:right w:val="single" w:color="auto" w:sz="4" w:space="0"/>
            </w:tcBorders>
            <w:noWrap w:val="0"/>
            <w:vAlign w:val="center"/>
          </w:tcPr>
          <w:p w14:paraId="61AC047D">
            <w:pPr>
              <w:keepNext w:val="0"/>
              <w:keepLines w:val="0"/>
              <w:pageBreakBefore w:val="0"/>
              <w:widowControl/>
              <w:kinsoku/>
              <w:wordWrap/>
              <w:overflowPunct/>
              <w:topLinePunct w:val="0"/>
              <w:autoSpaceDE/>
              <w:autoSpaceDN/>
              <w:bidi w:val="0"/>
              <w:adjustRightInd w:val="0"/>
              <w:snapToGrid w:val="0"/>
              <w:spacing w:line="560" w:lineRule="atLeast"/>
              <w:jc w:val="left"/>
              <w:textAlignment w:val="auto"/>
              <w:rPr>
                <w:rFonts w:hint="eastAsia" w:ascii="仿宋_GB2312" w:hAnsi="仿宋_GB2312" w:eastAsia="仿宋_GB2312" w:cs="仿宋_GB2312"/>
                <w:kern w:val="0"/>
                <w:sz w:val="28"/>
                <w:szCs w:val="28"/>
              </w:rPr>
            </w:pPr>
          </w:p>
        </w:tc>
        <w:tc>
          <w:tcPr>
            <w:tcW w:w="1687" w:type="dxa"/>
            <w:tcBorders>
              <w:top w:val="single" w:color="auto" w:sz="4" w:space="0"/>
              <w:left w:val="single" w:color="auto" w:sz="4" w:space="0"/>
              <w:bottom w:val="single" w:color="auto" w:sz="4" w:space="0"/>
              <w:right w:val="single" w:color="auto" w:sz="4" w:space="0"/>
            </w:tcBorders>
            <w:noWrap w:val="0"/>
            <w:vAlign w:val="center"/>
          </w:tcPr>
          <w:p w14:paraId="58F4CFDB">
            <w:pPr>
              <w:keepNext w:val="0"/>
              <w:keepLines w:val="0"/>
              <w:pageBreakBefore w:val="0"/>
              <w:widowControl/>
              <w:kinsoku/>
              <w:wordWrap/>
              <w:overflowPunct/>
              <w:topLinePunct w:val="0"/>
              <w:autoSpaceDE/>
              <w:autoSpaceDN/>
              <w:bidi w:val="0"/>
              <w:adjustRightInd w:val="0"/>
              <w:snapToGrid w:val="0"/>
              <w:spacing w:line="560" w:lineRule="atLeast"/>
              <w:jc w:val="center"/>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二等</w:t>
            </w:r>
          </w:p>
        </w:tc>
        <w:tc>
          <w:tcPr>
            <w:tcW w:w="1993" w:type="dxa"/>
            <w:tcBorders>
              <w:top w:val="single" w:color="auto" w:sz="4" w:space="0"/>
              <w:left w:val="single" w:color="auto" w:sz="4" w:space="0"/>
              <w:bottom w:val="single" w:color="auto" w:sz="4" w:space="0"/>
              <w:right w:val="single" w:color="auto" w:sz="4" w:space="0"/>
            </w:tcBorders>
            <w:noWrap w:val="0"/>
            <w:vAlign w:val="center"/>
          </w:tcPr>
          <w:p w14:paraId="68983D66">
            <w:pPr>
              <w:keepNext w:val="0"/>
              <w:keepLines w:val="0"/>
              <w:pageBreakBefore w:val="0"/>
              <w:widowControl/>
              <w:tabs>
                <w:tab w:val="left" w:pos="180"/>
                <w:tab w:val="left" w:pos="720"/>
              </w:tabs>
              <w:kinsoku/>
              <w:wordWrap/>
              <w:overflowPunct/>
              <w:topLinePunct w:val="0"/>
              <w:autoSpaceDE/>
              <w:autoSpaceDN/>
              <w:bidi w:val="0"/>
              <w:adjustRightInd w:val="0"/>
              <w:snapToGrid w:val="0"/>
              <w:spacing w:line="560" w:lineRule="atLeast"/>
              <w:jc w:val="center"/>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10000元/年</w:t>
            </w:r>
          </w:p>
        </w:tc>
        <w:tc>
          <w:tcPr>
            <w:tcW w:w="2261" w:type="dxa"/>
            <w:tcBorders>
              <w:top w:val="single" w:color="auto" w:sz="4" w:space="0"/>
              <w:left w:val="single" w:color="auto" w:sz="4" w:space="0"/>
              <w:bottom w:val="single" w:color="auto" w:sz="4" w:space="0"/>
              <w:right w:val="single" w:color="auto" w:sz="4" w:space="0"/>
            </w:tcBorders>
            <w:noWrap w:val="0"/>
            <w:vAlign w:val="center"/>
          </w:tcPr>
          <w:p w14:paraId="1FAB2B50">
            <w:pPr>
              <w:keepNext w:val="0"/>
              <w:keepLines w:val="0"/>
              <w:pageBreakBefore w:val="0"/>
              <w:widowControl/>
              <w:tabs>
                <w:tab w:val="left" w:pos="180"/>
                <w:tab w:val="left" w:pos="720"/>
              </w:tabs>
              <w:kinsoku/>
              <w:wordWrap/>
              <w:overflowPunct/>
              <w:topLinePunct w:val="0"/>
              <w:autoSpaceDE/>
              <w:autoSpaceDN/>
              <w:bidi w:val="0"/>
              <w:adjustRightInd w:val="0"/>
              <w:snapToGrid w:val="0"/>
              <w:spacing w:line="560" w:lineRule="atLeast"/>
              <w:jc w:val="center"/>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30%</w:t>
            </w:r>
          </w:p>
        </w:tc>
      </w:tr>
      <w:tr w14:paraId="6C112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jc w:val="center"/>
        </w:trPr>
        <w:tc>
          <w:tcPr>
            <w:tcW w:w="1875" w:type="dxa"/>
            <w:vMerge w:val="continue"/>
            <w:tcBorders>
              <w:left w:val="single" w:color="auto" w:sz="4" w:space="0"/>
              <w:right w:val="single" w:color="auto" w:sz="4" w:space="0"/>
            </w:tcBorders>
            <w:noWrap w:val="0"/>
            <w:vAlign w:val="center"/>
          </w:tcPr>
          <w:p w14:paraId="33BB859A">
            <w:pPr>
              <w:keepNext w:val="0"/>
              <w:keepLines w:val="0"/>
              <w:pageBreakBefore w:val="0"/>
              <w:widowControl/>
              <w:kinsoku/>
              <w:wordWrap/>
              <w:overflowPunct/>
              <w:topLinePunct w:val="0"/>
              <w:autoSpaceDE/>
              <w:autoSpaceDN/>
              <w:bidi w:val="0"/>
              <w:adjustRightInd w:val="0"/>
              <w:snapToGrid w:val="0"/>
              <w:spacing w:line="560" w:lineRule="atLeast"/>
              <w:jc w:val="left"/>
              <w:textAlignment w:val="auto"/>
              <w:rPr>
                <w:rFonts w:hint="eastAsia" w:ascii="仿宋_GB2312" w:hAnsi="仿宋_GB2312" w:eastAsia="仿宋_GB2312" w:cs="仿宋_GB2312"/>
                <w:kern w:val="0"/>
                <w:sz w:val="28"/>
                <w:szCs w:val="28"/>
              </w:rPr>
            </w:pPr>
          </w:p>
        </w:tc>
        <w:tc>
          <w:tcPr>
            <w:tcW w:w="1687" w:type="dxa"/>
            <w:tcBorders>
              <w:top w:val="single" w:color="auto" w:sz="4" w:space="0"/>
              <w:left w:val="single" w:color="auto" w:sz="4" w:space="0"/>
              <w:bottom w:val="single" w:color="auto" w:sz="4" w:space="0"/>
              <w:right w:val="single" w:color="auto" w:sz="4" w:space="0"/>
            </w:tcBorders>
            <w:noWrap w:val="0"/>
            <w:vAlign w:val="center"/>
          </w:tcPr>
          <w:p w14:paraId="4FCB1A77">
            <w:pPr>
              <w:keepNext w:val="0"/>
              <w:keepLines w:val="0"/>
              <w:pageBreakBefore w:val="0"/>
              <w:widowControl/>
              <w:kinsoku/>
              <w:wordWrap/>
              <w:overflowPunct/>
              <w:topLinePunct w:val="0"/>
              <w:autoSpaceDE/>
              <w:autoSpaceDN/>
              <w:bidi w:val="0"/>
              <w:adjustRightInd w:val="0"/>
              <w:snapToGrid w:val="0"/>
              <w:spacing w:line="560" w:lineRule="atLeast"/>
              <w:jc w:val="center"/>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三等</w:t>
            </w:r>
          </w:p>
        </w:tc>
        <w:tc>
          <w:tcPr>
            <w:tcW w:w="1993" w:type="dxa"/>
            <w:tcBorders>
              <w:top w:val="single" w:color="auto" w:sz="4" w:space="0"/>
              <w:left w:val="single" w:color="auto" w:sz="4" w:space="0"/>
              <w:bottom w:val="single" w:color="auto" w:sz="4" w:space="0"/>
              <w:right w:val="single" w:color="auto" w:sz="4" w:space="0"/>
            </w:tcBorders>
            <w:noWrap w:val="0"/>
            <w:vAlign w:val="center"/>
          </w:tcPr>
          <w:p w14:paraId="3E7B350F">
            <w:pPr>
              <w:keepNext w:val="0"/>
              <w:keepLines w:val="0"/>
              <w:pageBreakBefore w:val="0"/>
              <w:widowControl/>
              <w:tabs>
                <w:tab w:val="left" w:pos="180"/>
                <w:tab w:val="left" w:pos="720"/>
              </w:tabs>
              <w:kinsoku/>
              <w:wordWrap/>
              <w:overflowPunct/>
              <w:topLinePunct w:val="0"/>
              <w:autoSpaceDE/>
              <w:autoSpaceDN/>
              <w:bidi w:val="0"/>
              <w:adjustRightInd w:val="0"/>
              <w:snapToGrid w:val="0"/>
              <w:spacing w:line="560" w:lineRule="atLeast"/>
              <w:jc w:val="center"/>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8000元/年</w:t>
            </w:r>
          </w:p>
        </w:tc>
        <w:tc>
          <w:tcPr>
            <w:tcW w:w="2261" w:type="dxa"/>
            <w:tcBorders>
              <w:top w:val="single" w:color="auto" w:sz="4" w:space="0"/>
              <w:left w:val="single" w:color="auto" w:sz="4" w:space="0"/>
              <w:bottom w:val="single" w:color="auto" w:sz="4" w:space="0"/>
              <w:right w:val="single" w:color="auto" w:sz="4" w:space="0"/>
            </w:tcBorders>
            <w:noWrap w:val="0"/>
            <w:vAlign w:val="center"/>
          </w:tcPr>
          <w:p w14:paraId="18DBB09E">
            <w:pPr>
              <w:keepNext w:val="0"/>
              <w:keepLines w:val="0"/>
              <w:pageBreakBefore w:val="0"/>
              <w:widowControl/>
              <w:tabs>
                <w:tab w:val="left" w:pos="180"/>
                <w:tab w:val="left" w:pos="720"/>
              </w:tabs>
              <w:kinsoku/>
              <w:wordWrap/>
              <w:overflowPunct/>
              <w:topLinePunct w:val="0"/>
              <w:autoSpaceDE/>
              <w:autoSpaceDN/>
              <w:bidi w:val="0"/>
              <w:adjustRightInd w:val="0"/>
              <w:snapToGrid w:val="0"/>
              <w:spacing w:line="560" w:lineRule="atLeast"/>
              <w:jc w:val="center"/>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50%</w:t>
            </w:r>
          </w:p>
        </w:tc>
      </w:tr>
    </w:tbl>
    <w:p w14:paraId="2F36864A">
      <w:pPr>
        <w:pStyle w:val="5"/>
        <w:keepNext w:val="0"/>
        <w:keepLines w:val="0"/>
        <w:pageBreakBefore w:val="0"/>
        <w:kinsoku/>
        <w:wordWrap/>
        <w:overflowPunct/>
        <w:topLinePunct w:val="0"/>
        <w:autoSpaceDE/>
        <w:autoSpaceDN/>
        <w:bidi w:val="0"/>
        <w:adjustRightInd w:val="0"/>
        <w:snapToGrid w:val="0"/>
        <w:spacing w:before="0" w:beforeAutospacing="0" w:after="0" w:afterAutospacing="0" w:line="560" w:lineRule="atLeast"/>
        <w:ind w:firstLine="840" w:firstLineChars="300"/>
        <w:textAlignment w:val="auto"/>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kern w:val="2"/>
          <w:sz w:val="28"/>
          <w:szCs w:val="28"/>
          <w:highlight w:val="none"/>
          <w:lang w:val="en-US" w:eastAsia="zh-CN" w:bidi="ar-SA"/>
        </w:rPr>
        <w:t>注：2024级适用此标准。</w:t>
      </w:r>
      <w:r>
        <w:rPr>
          <w:rFonts w:hint="eastAsia" w:ascii="仿宋_GB2312" w:hAnsi="仿宋_GB2312" w:eastAsia="仿宋_GB2312" w:cs="仿宋_GB2312"/>
          <w:color w:val="000000"/>
          <w:sz w:val="28"/>
          <w:szCs w:val="28"/>
          <w:highlight w:val="none"/>
        </w:rPr>
        <w:t xml:space="preserve"> </w:t>
      </w:r>
    </w:p>
    <w:tbl>
      <w:tblPr>
        <w:tblStyle w:val="6"/>
        <w:tblW w:w="78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75"/>
        <w:gridCol w:w="1687"/>
        <w:gridCol w:w="1993"/>
        <w:gridCol w:w="2261"/>
      </w:tblGrid>
      <w:tr w14:paraId="435E3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1875" w:type="dxa"/>
            <w:tcBorders>
              <w:top w:val="single" w:color="auto" w:sz="4" w:space="0"/>
              <w:left w:val="single" w:color="auto" w:sz="4" w:space="0"/>
              <w:right w:val="single" w:color="auto" w:sz="4" w:space="0"/>
            </w:tcBorders>
            <w:noWrap w:val="0"/>
            <w:vAlign w:val="center"/>
          </w:tcPr>
          <w:p w14:paraId="4803D750">
            <w:pPr>
              <w:keepNext w:val="0"/>
              <w:keepLines w:val="0"/>
              <w:pageBreakBefore w:val="0"/>
              <w:widowControl/>
              <w:tabs>
                <w:tab w:val="left" w:pos="180"/>
                <w:tab w:val="left" w:pos="720"/>
              </w:tabs>
              <w:kinsoku/>
              <w:wordWrap/>
              <w:overflowPunct/>
              <w:topLinePunct w:val="0"/>
              <w:autoSpaceDE/>
              <w:autoSpaceDN/>
              <w:bidi w:val="0"/>
              <w:adjustRightInd w:val="0"/>
              <w:snapToGrid w:val="0"/>
              <w:spacing w:line="560" w:lineRule="atLeast"/>
              <w:jc w:val="center"/>
              <w:textAlignment w:val="auto"/>
              <w:rPr>
                <w:rFonts w:hint="eastAsia" w:ascii="仿宋_GB2312" w:hAnsi="仿宋_GB2312" w:eastAsia="仿宋_GB2312" w:cs="仿宋_GB2312"/>
                <w:kern w:val="0"/>
                <w:sz w:val="28"/>
                <w:szCs w:val="28"/>
                <w:highlight w:val="none"/>
              </w:rPr>
            </w:pPr>
            <w:r>
              <w:rPr>
                <w:rFonts w:hint="eastAsia" w:ascii="仿宋_GB2312" w:hAnsi="仿宋_GB2312" w:eastAsia="仿宋_GB2312" w:cs="仿宋_GB2312"/>
                <w:kern w:val="0"/>
                <w:sz w:val="28"/>
                <w:szCs w:val="28"/>
                <w:highlight w:val="none"/>
              </w:rPr>
              <w:t>类 别</w:t>
            </w:r>
          </w:p>
        </w:tc>
        <w:tc>
          <w:tcPr>
            <w:tcW w:w="1687" w:type="dxa"/>
            <w:tcBorders>
              <w:top w:val="single" w:color="auto" w:sz="4" w:space="0"/>
              <w:left w:val="single" w:color="auto" w:sz="4" w:space="0"/>
              <w:right w:val="single" w:color="auto" w:sz="4" w:space="0"/>
            </w:tcBorders>
            <w:noWrap w:val="0"/>
            <w:vAlign w:val="center"/>
          </w:tcPr>
          <w:p w14:paraId="34FD2C05">
            <w:pPr>
              <w:keepNext w:val="0"/>
              <w:keepLines w:val="0"/>
              <w:pageBreakBefore w:val="0"/>
              <w:tabs>
                <w:tab w:val="left" w:pos="180"/>
                <w:tab w:val="left" w:pos="720"/>
              </w:tabs>
              <w:kinsoku/>
              <w:wordWrap/>
              <w:overflowPunct/>
              <w:topLinePunct w:val="0"/>
              <w:autoSpaceDE/>
              <w:autoSpaceDN/>
              <w:bidi w:val="0"/>
              <w:adjustRightInd w:val="0"/>
              <w:snapToGrid w:val="0"/>
              <w:spacing w:line="560" w:lineRule="atLeast"/>
              <w:jc w:val="center"/>
              <w:textAlignment w:val="auto"/>
              <w:rPr>
                <w:rFonts w:hint="eastAsia" w:ascii="仿宋_GB2312" w:hAnsi="仿宋_GB2312" w:eastAsia="仿宋_GB2312" w:cs="仿宋_GB2312"/>
                <w:kern w:val="0"/>
                <w:sz w:val="28"/>
                <w:szCs w:val="28"/>
                <w:highlight w:val="none"/>
              </w:rPr>
            </w:pPr>
            <w:r>
              <w:rPr>
                <w:rFonts w:hint="eastAsia" w:ascii="仿宋_GB2312" w:hAnsi="仿宋_GB2312" w:eastAsia="仿宋_GB2312" w:cs="仿宋_GB2312"/>
                <w:kern w:val="0"/>
                <w:sz w:val="28"/>
                <w:szCs w:val="28"/>
                <w:highlight w:val="none"/>
              </w:rPr>
              <w:t>等 级</w:t>
            </w:r>
          </w:p>
        </w:tc>
        <w:tc>
          <w:tcPr>
            <w:tcW w:w="1993" w:type="dxa"/>
            <w:tcBorders>
              <w:top w:val="single" w:color="auto" w:sz="4" w:space="0"/>
              <w:left w:val="single" w:color="auto" w:sz="4" w:space="0"/>
              <w:right w:val="single" w:color="auto" w:sz="4" w:space="0"/>
            </w:tcBorders>
            <w:noWrap w:val="0"/>
            <w:vAlign w:val="center"/>
          </w:tcPr>
          <w:p w14:paraId="0AE96DD9">
            <w:pPr>
              <w:keepNext w:val="0"/>
              <w:keepLines w:val="0"/>
              <w:pageBreakBefore w:val="0"/>
              <w:widowControl/>
              <w:kinsoku/>
              <w:wordWrap/>
              <w:overflowPunct/>
              <w:topLinePunct w:val="0"/>
              <w:autoSpaceDE/>
              <w:autoSpaceDN/>
              <w:bidi w:val="0"/>
              <w:adjustRightInd w:val="0"/>
              <w:snapToGrid w:val="0"/>
              <w:spacing w:line="560" w:lineRule="atLeast"/>
              <w:jc w:val="center"/>
              <w:textAlignment w:val="auto"/>
              <w:rPr>
                <w:rFonts w:hint="eastAsia" w:ascii="仿宋_GB2312" w:hAnsi="仿宋_GB2312" w:eastAsia="仿宋_GB2312" w:cs="仿宋_GB2312"/>
                <w:kern w:val="0"/>
                <w:sz w:val="28"/>
                <w:szCs w:val="28"/>
                <w:highlight w:val="none"/>
              </w:rPr>
            </w:pPr>
            <w:r>
              <w:rPr>
                <w:rFonts w:hint="eastAsia" w:ascii="仿宋_GB2312" w:hAnsi="仿宋_GB2312" w:eastAsia="仿宋_GB2312" w:cs="仿宋_GB2312"/>
                <w:kern w:val="0"/>
                <w:sz w:val="28"/>
                <w:szCs w:val="28"/>
                <w:highlight w:val="none"/>
              </w:rPr>
              <w:t>奖励标准</w:t>
            </w:r>
          </w:p>
        </w:tc>
        <w:tc>
          <w:tcPr>
            <w:tcW w:w="2261" w:type="dxa"/>
            <w:tcBorders>
              <w:top w:val="single" w:color="auto" w:sz="4" w:space="0"/>
              <w:left w:val="single" w:color="auto" w:sz="4" w:space="0"/>
              <w:right w:val="single" w:color="auto" w:sz="4" w:space="0"/>
            </w:tcBorders>
            <w:noWrap w:val="0"/>
            <w:vAlign w:val="center"/>
          </w:tcPr>
          <w:p w14:paraId="54A3F811">
            <w:pPr>
              <w:keepNext w:val="0"/>
              <w:keepLines w:val="0"/>
              <w:pageBreakBefore w:val="0"/>
              <w:widowControl/>
              <w:tabs>
                <w:tab w:val="left" w:pos="180"/>
                <w:tab w:val="left" w:pos="720"/>
              </w:tabs>
              <w:kinsoku/>
              <w:wordWrap/>
              <w:overflowPunct/>
              <w:topLinePunct w:val="0"/>
              <w:autoSpaceDE/>
              <w:autoSpaceDN/>
              <w:bidi w:val="0"/>
              <w:adjustRightInd w:val="0"/>
              <w:snapToGrid w:val="0"/>
              <w:spacing w:line="560" w:lineRule="atLeast"/>
              <w:jc w:val="center"/>
              <w:textAlignment w:val="auto"/>
              <w:rPr>
                <w:rFonts w:hint="eastAsia" w:ascii="仿宋_GB2312" w:hAnsi="仿宋_GB2312" w:eastAsia="仿宋_GB2312" w:cs="仿宋_GB2312"/>
                <w:kern w:val="0"/>
                <w:sz w:val="28"/>
                <w:szCs w:val="28"/>
                <w:highlight w:val="none"/>
              </w:rPr>
            </w:pPr>
            <w:r>
              <w:rPr>
                <w:rFonts w:hint="eastAsia" w:ascii="仿宋_GB2312" w:hAnsi="仿宋_GB2312" w:eastAsia="仿宋_GB2312" w:cs="仿宋_GB2312"/>
                <w:kern w:val="0"/>
                <w:sz w:val="28"/>
                <w:szCs w:val="28"/>
                <w:highlight w:val="none"/>
              </w:rPr>
              <w:t>奖励比例</w:t>
            </w:r>
          </w:p>
        </w:tc>
      </w:tr>
      <w:tr w14:paraId="52ED0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jc w:val="center"/>
        </w:trPr>
        <w:tc>
          <w:tcPr>
            <w:tcW w:w="1875" w:type="dxa"/>
            <w:vMerge w:val="restart"/>
            <w:tcBorders>
              <w:left w:val="single" w:color="auto" w:sz="4" w:space="0"/>
              <w:bottom w:val="single" w:color="auto" w:sz="4" w:space="0"/>
              <w:right w:val="single" w:color="auto" w:sz="4" w:space="0"/>
            </w:tcBorders>
            <w:noWrap w:val="0"/>
            <w:vAlign w:val="center"/>
          </w:tcPr>
          <w:p w14:paraId="521887BE">
            <w:pPr>
              <w:keepNext w:val="0"/>
              <w:keepLines w:val="0"/>
              <w:pageBreakBefore w:val="0"/>
              <w:tabs>
                <w:tab w:val="left" w:pos="180"/>
                <w:tab w:val="left" w:pos="720"/>
              </w:tabs>
              <w:kinsoku/>
              <w:wordWrap/>
              <w:overflowPunct/>
              <w:topLinePunct w:val="0"/>
              <w:autoSpaceDE/>
              <w:autoSpaceDN/>
              <w:bidi w:val="0"/>
              <w:adjustRightInd w:val="0"/>
              <w:snapToGrid w:val="0"/>
              <w:spacing w:line="560" w:lineRule="atLeast"/>
              <w:jc w:val="center"/>
              <w:textAlignment w:val="auto"/>
              <w:rPr>
                <w:rFonts w:hint="eastAsia" w:ascii="仿宋_GB2312" w:hAnsi="仿宋_GB2312" w:eastAsia="仿宋_GB2312" w:cs="仿宋_GB2312"/>
                <w:kern w:val="0"/>
                <w:sz w:val="28"/>
                <w:szCs w:val="28"/>
                <w:highlight w:val="none"/>
              </w:rPr>
            </w:pPr>
            <w:r>
              <w:rPr>
                <w:rFonts w:hint="eastAsia" w:ascii="仿宋_GB2312" w:hAnsi="仿宋_GB2312" w:eastAsia="仿宋_GB2312" w:cs="仿宋_GB2312"/>
                <w:kern w:val="0"/>
                <w:sz w:val="28"/>
                <w:szCs w:val="28"/>
                <w:highlight w:val="none"/>
              </w:rPr>
              <w:t>硕士生</w:t>
            </w:r>
          </w:p>
        </w:tc>
        <w:tc>
          <w:tcPr>
            <w:tcW w:w="1687" w:type="dxa"/>
            <w:tcBorders>
              <w:top w:val="single" w:color="auto" w:sz="4" w:space="0"/>
              <w:left w:val="single" w:color="auto" w:sz="4" w:space="0"/>
              <w:bottom w:val="single" w:color="auto" w:sz="4" w:space="0"/>
              <w:right w:val="single" w:color="auto" w:sz="4" w:space="0"/>
            </w:tcBorders>
            <w:noWrap w:val="0"/>
            <w:vAlign w:val="center"/>
          </w:tcPr>
          <w:p w14:paraId="5511EF63">
            <w:pPr>
              <w:keepNext w:val="0"/>
              <w:keepLines w:val="0"/>
              <w:pageBreakBefore w:val="0"/>
              <w:widowControl/>
              <w:kinsoku/>
              <w:wordWrap/>
              <w:overflowPunct/>
              <w:topLinePunct w:val="0"/>
              <w:autoSpaceDE/>
              <w:autoSpaceDN/>
              <w:bidi w:val="0"/>
              <w:adjustRightInd w:val="0"/>
              <w:snapToGrid w:val="0"/>
              <w:spacing w:line="560" w:lineRule="atLeast"/>
              <w:jc w:val="center"/>
              <w:textAlignment w:val="auto"/>
              <w:rPr>
                <w:rFonts w:hint="eastAsia" w:ascii="仿宋_GB2312" w:hAnsi="仿宋_GB2312" w:eastAsia="仿宋_GB2312" w:cs="仿宋_GB2312"/>
                <w:kern w:val="0"/>
                <w:sz w:val="28"/>
                <w:szCs w:val="28"/>
                <w:highlight w:val="none"/>
              </w:rPr>
            </w:pPr>
            <w:r>
              <w:rPr>
                <w:rFonts w:hint="eastAsia" w:ascii="仿宋_GB2312" w:hAnsi="仿宋_GB2312" w:eastAsia="仿宋_GB2312" w:cs="仿宋_GB2312"/>
                <w:kern w:val="0"/>
                <w:sz w:val="28"/>
                <w:szCs w:val="28"/>
                <w:highlight w:val="none"/>
              </w:rPr>
              <w:t>一等</w:t>
            </w:r>
          </w:p>
        </w:tc>
        <w:tc>
          <w:tcPr>
            <w:tcW w:w="1993" w:type="dxa"/>
            <w:tcBorders>
              <w:top w:val="single" w:color="auto" w:sz="4" w:space="0"/>
              <w:left w:val="single" w:color="auto" w:sz="4" w:space="0"/>
              <w:bottom w:val="single" w:color="auto" w:sz="4" w:space="0"/>
              <w:right w:val="single" w:color="auto" w:sz="4" w:space="0"/>
            </w:tcBorders>
            <w:noWrap w:val="0"/>
            <w:vAlign w:val="center"/>
          </w:tcPr>
          <w:p w14:paraId="30F26B58">
            <w:pPr>
              <w:keepNext w:val="0"/>
              <w:keepLines w:val="0"/>
              <w:pageBreakBefore w:val="0"/>
              <w:widowControl/>
              <w:tabs>
                <w:tab w:val="left" w:pos="180"/>
                <w:tab w:val="left" w:pos="720"/>
              </w:tabs>
              <w:kinsoku/>
              <w:wordWrap/>
              <w:overflowPunct/>
              <w:topLinePunct w:val="0"/>
              <w:autoSpaceDE/>
              <w:autoSpaceDN/>
              <w:bidi w:val="0"/>
              <w:adjustRightInd w:val="0"/>
              <w:snapToGrid w:val="0"/>
              <w:spacing w:line="560" w:lineRule="atLeast"/>
              <w:jc w:val="center"/>
              <w:textAlignment w:val="auto"/>
              <w:rPr>
                <w:rFonts w:hint="eastAsia" w:ascii="仿宋_GB2312" w:hAnsi="仿宋_GB2312" w:eastAsia="仿宋_GB2312" w:cs="仿宋_GB2312"/>
                <w:kern w:val="0"/>
                <w:sz w:val="28"/>
                <w:szCs w:val="28"/>
                <w:highlight w:val="none"/>
              </w:rPr>
            </w:pPr>
            <w:r>
              <w:rPr>
                <w:rFonts w:hint="eastAsia" w:ascii="仿宋_GB2312" w:hAnsi="仿宋_GB2312" w:eastAsia="仿宋_GB2312" w:cs="仿宋_GB2312"/>
                <w:kern w:val="0"/>
                <w:sz w:val="28"/>
                <w:szCs w:val="28"/>
                <w:highlight w:val="none"/>
              </w:rPr>
              <w:t>1</w:t>
            </w:r>
            <w:r>
              <w:rPr>
                <w:rFonts w:hint="eastAsia" w:ascii="仿宋_GB2312" w:hAnsi="仿宋_GB2312" w:eastAsia="仿宋_GB2312" w:cs="仿宋_GB2312"/>
                <w:kern w:val="0"/>
                <w:sz w:val="28"/>
                <w:szCs w:val="28"/>
                <w:highlight w:val="none"/>
                <w:lang w:val="en-US" w:eastAsia="zh-CN"/>
              </w:rPr>
              <w:t>4</w:t>
            </w:r>
            <w:r>
              <w:rPr>
                <w:rFonts w:hint="eastAsia" w:ascii="仿宋_GB2312" w:hAnsi="仿宋_GB2312" w:eastAsia="仿宋_GB2312" w:cs="仿宋_GB2312"/>
                <w:kern w:val="0"/>
                <w:sz w:val="28"/>
                <w:szCs w:val="28"/>
                <w:highlight w:val="none"/>
              </w:rPr>
              <w:t>000元/年</w:t>
            </w:r>
          </w:p>
        </w:tc>
        <w:tc>
          <w:tcPr>
            <w:tcW w:w="2261" w:type="dxa"/>
            <w:tcBorders>
              <w:top w:val="single" w:color="auto" w:sz="4" w:space="0"/>
              <w:left w:val="single" w:color="auto" w:sz="4" w:space="0"/>
              <w:bottom w:val="single" w:color="auto" w:sz="4" w:space="0"/>
              <w:right w:val="single" w:color="auto" w:sz="4" w:space="0"/>
            </w:tcBorders>
            <w:noWrap w:val="0"/>
            <w:vAlign w:val="center"/>
          </w:tcPr>
          <w:p w14:paraId="1C4EBEE0">
            <w:pPr>
              <w:keepNext w:val="0"/>
              <w:keepLines w:val="0"/>
              <w:pageBreakBefore w:val="0"/>
              <w:widowControl/>
              <w:tabs>
                <w:tab w:val="left" w:pos="180"/>
                <w:tab w:val="left" w:pos="720"/>
              </w:tabs>
              <w:kinsoku/>
              <w:wordWrap/>
              <w:overflowPunct/>
              <w:topLinePunct w:val="0"/>
              <w:autoSpaceDE/>
              <w:autoSpaceDN/>
              <w:bidi w:val="0"/>
              <w:adjustRightInd w:val="0"/>
              <w:snapToGrid w:val="0"/>
              <w:spacing w:line="560" w:lineRule="atLeast"/>
              <w:jc w:val="center"/>
              <w:textAlignment w:val="auto"/>
              <w:rPr>
                <w:rFonts w:hint="eastAsia" w:ascii="仿宋_GB2312" w:hAnsi="仿宋_GB2312" w:eastAsia="仿宋_GB2312" w:cs="仿宋_GB2312"/>
                <w:kern w:val="0"/>
                <w:sz w:val="28"/>
                <w:szCs w:val="28"/>
                <w:highlight w:val="none"/>
              </w:rPr>
            </w:pPr>
            <w:r>
              <w:rPr>
                <w:rFonts w:hint="eastAsia" w:ascii="仿宋_GB2312" w:hAnsi="仿宋_GB2312" w:eastAsia="仿宋_GB2312" w:cs="仿宋_GB2312"/>
                <w:kern w:val="0"/>
                <w:sz w:val="28"/>
                <w:szCs w:val="28"/>
                <w:highlight w:val="none"/>
              </w:rPr>
              <w:t>20%</w:t>
            </w:r>
          </w:p>
        </w:tc>
      </w:tr>
      <w:tr w14:paraId="237E0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jc w:val="center"/>
        </w:trPr>
        <w:tc>
          <w:tcPr>
            <w:tcW w:w="1875" w:type="dxa"/>
            <w:vMerge w:val="continue"/>
            <w:tcBorders>
              <w:left w:val="single" w:color="auto" w:sz="4" w:space="0"/>
              <w:bottom w:val="single" w:color="auto" w:sz="4" w:space="0"/>
              <w:right w:val="single" w:color="auto" w:sz="4" w:space="0"/>
            </w:tcBorders>
            <w:noWrap w:val="0"/>
            <w:vAlign w:val="center"/>
          </w:tcPr>
          <w:p w14:paraId="420B63F5">
            <w:pPr>
              <w:keepNext w:val="0"/>
              <w:keepLines w:val="0"/>
              <w:pageBreakBefore w:val="0"/>
              <w:widowControl/>
              <w:kinsoku/>
              <w:wordWrap/>
              <w:overflowPunct/>
              <w:topLinePunct w:val="0"/>
              <w:autoSpaceDE/>
              <w:autoSpaceDN/>
              <w:bidi w:val="0"/>
              <w:adjustRightInd w:val="0"/>
              <w:snapToGrid w:val="0"/>
              <w:spacing w:line="560" w:lineRule="atLeast"/>
              <w:jc w:val="left"/>
              <w:textAlignment w:val="auto"/>
              <w:rPr>
                <w:rFonts w:hint="eastAsia" w:ascii="仿宋_GB2312" w:hAnsi="仿宋_GB2312" w:eastAsia="仿宋_GB2312" w:cs="仿宋_GB2312"/>
                <w:kern w:val="0"/>
                <w:sz w:val="28"/>
                <w:szCs w:val="28"/>
                <w:highlight w:val="none"/>
              </w:rPr>
            </w:pPr>
          </w:p>
        </w:tc>
        <w:tc>
          <w:tcPr>
            <w:tcW w:w="1687" w:type="dxa"/>
            <w:tcBorders>
              <w:top w:val="single" w:color="auto" w:sz="4" w:space="0"/>
              <w:left w:val="single" w:color="auto" w:sz="4" w:space="0"/>
              <w:bottom w:val="single" w:color="auto" w:sz="4" w:space="0"/>
              <w:right w:val="single" w:color="auto" w:sz="4" w:space="0"/>
            </w:tcBorders>
            <w:noWrap w:val="0"/>
            <w:vAlign w:val="center"/>
          </w:tcPr>
          <w:p w14:paraId="0F40A7A4">
            <w:pPr>
              <w:keepNext w:val="0"/>
              <w:keepLines w:val="0"/>
              <w:pageBreakBefore w:val="0"/>
              <w:widowControl/>
              <w:kinsoku/>
              <w:wordWrap/>
              <w:overflowPunct/>
              <w:topLinePunct w:val="0"/>
              <w:autoSpaceDE/>
              <w:autoSpaceDN/>
              <w:bidi w:val="0"/>
              <w:adjustRightInd w:val="0"/>
              <w:snapToGrid w:val="0"/>
              <w:spacing w:line="560" w:lineRule="atLeast"/>
              <w:jc w:val="center"/>
              <w:textAlignment w:val="auto"/>
              <w:rPr>
                <w:rFonts w:hint="eastAsia" w:ascii="仿宋_GB2312" w:hAnsi="仿宋_GB2312" w:eastAsia="仿宋_GB2312" w:cs="仿宋_GB2312"/>
                <w:kern w:val="0"/>
                <w:sz w:val="28"/>
                <w:szCs w:val="28"/>
                <w:highlight w:val="none"/>
              </w:rPr>
            </w:pPr>
            <w:r>
              <w:rPr>
                <w:rFonts w:hint="eastAsia" w:ascii="仿宋_GB2312" w:hAnsi="仿宋_GB2312" w:eastAsia="仿宋_GB2312" w:cs="仿宋_GB2312"/>
                <w:kern w:val="0"/>
                <w:sz w:val="28"/>
                <w:szCs w:val="28"/>
                <w:highlight w:val="none"/>
              </w:rPr>
              <w:t>二等</w:t>
            </w:r>
          </w:p>
        </w:tc>
        <w:tc>
          <w:tcPr>
            <w:tcW w:w="1993" w:type="dxa"/>
            <w:tcBorders>
              <w:top w:val="single" w:color="auto" w:sz="4" w:space="0"/>
              <w:left w:val="single" w:color="auto" w:sz="4" w:space="0"/>
              <w:bottom w:val="single" w:color="auto" w:sz="4" w:space="0"/>
              <w:right w:val="single" w:color="auto" w:sz="4" w:space="0"/>
            </w:tcBorders>
            <w:noWrap w:val="0"/>
            <w:vAlign w:val="center"/>
          </w:tcPr>
          <w:p w14:paraId="1286E0BB">
            <w:pPr>
              <w:keepNext w:val="0"/>
              <w:keepLines w:val="0"/>
              <w:pageBreakBefore w:val="0"/>
              <w:widowControl/>
              <w:tabs>
                <w:tab w:val="left" w:pos="180"/>
                <w:tab w:val="left" w:pos="720"/>
              </w:tabs>
              <w:kinsoku/>
              <w:wordWrap/>
              <w:overflowPunct/>
              <w:topLinePunct w:val="0"/>
              <w:autoSpaceDE/>
              <w:autoSpaceDN/>
              <w:bidi w:val="0"/>
              <w:adjustRightInd w:val="0"/>
              <w:snapToGrid w:val="0"/>
              <w:spacing w:line="560" w:lineRule="atLeast"/>
              <w:jc w:val="center"/>
              <w:textAlignment w:val="auto"/>
              <w:rPr>
                <w:rFonts w:hint="eastAsia" w:ascii="仿宋_GB2312" w:hAnsi="仿宋_GB2312" w:eastAsia="仿宋_GB2312" w:cs="仿宋_GB2312"/>
                <w:kern w:val="0"/>
                <w:sz w:val="28"/>
                <w:szCs w:val="28"/>
                <w:highlight w:val="none"/>
              </w:rPr>
            </w:pPr>
            <w:r>
              <w:rPr>
                <w:rFonts w:hint="eastAsia" w:ascii="仿宋_GB2312" w:hAnsi="仿宋_GB2312" w:eastAsia="仿宋_GB2312" w:cs="仿宋_GB2312"/>
                <w:kern w:val="0"/>
                <w:sz w:val="28"/>
                <w:szCs w:val="28"/>
                <w:highlight w:val="none"/>
              </w:rPr>
              <w:t>10000元/年</w:t>
            </w:r>
          </w:p>
        </w:tc>
        <w:tc>
          <w:tcPr>
            <w:tcW w:w="2261" w:type="dxa"/>
            <w:tcBorders>
              <w:top w:val="single" w:color="auto" w:sz="4" w:space="0"/>
              <w:left w:val="single" w:color="auto" w:sz="4" w:space="0"/>
              <w:bottom w:val="single" w:color="auto" w:sz="4" w:space="0"/>
              <w:right w:val="single" w:color="auto" w:sz="4" w:space="0"/>
            </w:tcBorders>
            <w:noWrap w:val="0"/>
            <w:vAlign w:val="center"/>
          </w:tcPr>
          <w:p w14:paraId="0982B684">
            <w:pPr>
              <w:keepNext w:val="0"/>
              <w:keepLines w:val="0"/>
              <w:pageBreakBefore w:val="0"/>
              <w:widowControl/>
              <w:tabs>
                <w:tab w:val="left" w:pos="180"/>
                <w:tab w:val="left" w:pos="720"/>
              </w:tabs>
              <w:kinsoku/>
              <w:wordWrap/>
              <w:overflowPunct/>
              <w:topLinePunct w:val="0"/>
              <w:autoSpaceDE/>
              <w:autoSpaceDN/>
              <w:bidi w:val="0"/>
              <w:adjustRightInd w:val="0"/>
              <w:snapToGrid w:val="0"/>
              <w:spacing w:line="560" w:lineRule="atLeast"/>
              <w:jc w:val="center"/>
              <w:textAlignment w:val="auto"/>
              <w:rPr>
                <w:rFonts w:hint="eastAsia" w:ascii="仿宋_GB2312" w:hAnsi="仿宋_GB2312" w:eastAsia="仿宋_GB2312" w:cs="仿宋_GB2312"/>
                <w:kern w:val="0"/>
                <w:sz w:val="28"/>
                <w:szCs w:val="28"/>
                <w:highlight w:val="none"/>
              </w:rPr>
            </w:pPr>
            <w:r>
              <w:rPr>
                <w:rFonts w:hint="eastAsia" w:ascii="仿宋_GB2312" w:hAnsi="仿宋_GB2312" w:eastAsia="仿宋_GB2312" w:cs="仿宋_GB2312"/>
                <w:kern w:val="0"/>
                <w:sz w:val="28"/>
                <w:szCs w:val="28"/>
                <w:highlight w:val="none"/>
              </w:rPr>
              <w:t>30%</w:t>
            </w:r>
          </w:p>
        </w:tc>
      </w:tr>
      <w:tr w14:paraId="4D967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jc w:val="center"/>
        </w:trPr>
        <w:tc>
          <w:tcPr>
            <w:tcW w:w="1875" w:type="dxa"/>
            <w:vMerge w:val="continue"/>
            <w:tcBorders>
              <w:left w:val="single" w:color="auto" w:sz="4" w:space="0"/>
              <w:right w:val="single" w:color="auto" w:sz="4" w:space="0"/>
            </w:tcBorders>
            <w:noWrap w:val="0"/>
            <w:vAlign w:val="center"/>
          </w:tcPr>
          <w:p w14:paraId="3DC01427">
            <w:pPr>
              <w:keepNext w:val="0"/>
              <w:keepLines w:val="0"/>
              <w:pageBreakBefore w:val="0"/>
              <w:widowControl/>
              <w:kinsoku/>
              <w:wordWrap/>
              <w:overflowPunct/>
              <w:topLinePunct w:val="0"/>
              <w:autoSpaceDE/>
              <w:autoSpaceDN/>
              <w:bidi w:val="0"/>
              <w:adjustRightInd w:val="0"/>
              <w:snapToGrid w:val="0"/>
              <w:spacing w:line="560" w:lineRule="atLeast"/>
              <w:jc w:val="left"/>
              <w:textAlignment w:val="auto"/>
              <w:rPr>
                <w:rFonts w:hint="eastAsia" w:ascii="仿宋_GB2312" w:hAnsi="仿宋_GB2312" w:eastAsia="仿宋_GB2312" w:cs="仿宋_GB2312"/>
                <w:kern w:val="0"/>
                <w:sz w:val="28"/>
                <w:szCs w:val="28"/>
                <w:highlight w:val="none"/>
              </w:rPr>
            </w:pPr>
          </w:p>
        </w:tc>
        <w:tc>
          <w:tcPr>
            <w:tcW w:w="1687" w:type="dxa"/>
            <w:tcBorders>
              <w:top w:val="single" w:color="auto" w:sz="4" w:space="0"/>
              <w:left w:val="single" w:color="auto" w:sz="4" w:space="0"/>
              <w:bottom w:val="single" w:color="auto" w:sz="4" w:space="0"/>
              <w:right w:val="single" w:color="auto" w:sz="4" w:space="0"/>
            </w:tcBorders>
            <w:noWrap w:val="0"/>
            <w:vAlign w:val="center"/>
          </w:tcPr>
          <w:p w14:paraId="350145D2">
            <w:pPr>
              <w:keepNext w:val="0"/>
              <w:keepLines w:val="0"/>
              <w:pageBreakBefore w:val="0"/>
              <w:widowControl/>
              <w:kinsoku/>
              <w:wordWrap/>
              <w:overflowPunct/>
              <w:topLinePunct w:val="0"/>
              <w:autoSpaceDE/>
              <w:autoSpaceDN/>
              <w:bidi w:val="0"/>
              <w:adjustRightInd w:val="0"/>
              <w:snapToGrid w:val="0"/>
              <w:spacing w:line="560" w:lineRule="atLeast"/>
              <w:jc w:val="center"/>
              <w:textAlignment w:val="auto"/>
              <w:rPr>
                <w:rFonts w:hint="eastAsia" w:ascii="仿宋_GB2312" w:hAnsi="仿宋_GB2312" w:eastAsia="仿宋_GB2312" w:cs="仿宋_GB2312"/>
                <w:kern w:val="0"/>
                <w:sz w:val="28"/>
                <w:szCs w:val="28"/>
                <w:highlight w:val="none"/>
              </w:rPr>
            </w:pPr>
            <w:r>
              <w:rPr>
                <w:rFonts w:hint="eastAsia" w:ascii="仿宋_GB2312" w:hAnsi="仿宋_GB2312" w:eastAsia="仿宋_GB2312" w:cs="仿宋_GB2312"/>
                <w:kern w:val="0"/>
                <w:sz w:val="28"/>
                <w:szCs w:val="28"/>
                <w:highlight w:val="none"/>
              </w:rPr>
              <w:t>三等</w:t>
            </w:r>
          </w:p>
        </w:tc>
        <w:tc>
          <w:tcPr>
            <w:tcW w:w="1993" w:type="dxa"/>
            <w:tcBorders>
              <w:top w:val="single" w:color="auto" w:sz="4" w:space="0"/>
              <w:left w:val="single" w:color="auto" w:sz="4" w:space="0"/>
              <w:bottom w:val="single" w:color="auto" w:sz="4" w:space="0"/>
              <w:right w:val="single" w:color="auto" w:sz="4" w:space="0"/>
            </w:tcBorders>
            <w:noWrap w:val="0"/>
            <w:vAlign w:val="center"/>
          </w:tcPr>
          <w:p w14:paraId="3418A636">
            <w:pPr>
              <w:keepNext w:val="0"/>
              <w:keepLines w:val="0"/>
              <w:pageBreakBefore w:val="0"/>
              <w:widowControl/>
              <w:tabs>
                <w:tab w:val="left" w:pos="180"/>
                <w:tab w:val="left" w:pos="720"/>
              </w:tabs>
              <w:kinsoku/>
              <w:wordWrap/>
              <w:overflowPunct/>
              <w:topLinePunct w:val="0"/>
              <w:autoSpaceDE/>
              <w:autoSpaceDN/>
              <w:bidi w:val="0"/>
              <w:adjustRightInd w:val="0"/>
              <w:snapToGrid w:val="0"/>
              <w:spacing w:line="560" w:lineRule="atLeast"/>
              <w:jc w:val="center"/>
              <w:textAlignment w:val="auto"/>
              <w:rPr>
                <w:rFonts w:hint="eastAsia" w:ascii="仿宋_GB2312" w:hAnsi="仿宋_GB2312" w:eastAsia="仿宋_GB2312" w:cs="仿宋_GB2312"/>
                <w:kern w:val="0"/>
                <w:sz w:val="28"/>
                <w:szCs w:val="28"/>
                <w:highlight w:val="none"/>
              </w:rPr>
            </w:pPr>
            <w:r>
              <w:rPr>
                <w:rFonts w:hint="eastAsia" w:ascii="仿宋_GB2312" w:hAnsi="仿宋_GB2312" w:eastAsia="仿宋_GB2312" w:cs="仿宋_GB2312"/>
                <w:kern w:val="0"/>
                <w:sz w:val="28"/>
                <w:szCs w:val="28"/>
                <w:highlight w:val="none"/>
                <w:lang w:val="en-US" w:eastAsia="zh-CN"/>
              </w:rPr>
              <w:t>6</w:t>
            </w:r>
            <w:r>
              <w:rPr>
                <w:rFonts w:hint="eastAsia" w:ascii="仿宋_GB2312" w:hAnsi="仿宋_GB2312" w:eastAsia="仿宋_GB2312" w:cs="仿宋_GB2312"/>
                <w:kern w:val="0"/>
                <w:sz w:val="28"/>
                <w:szCs w:val="28"/>
                <w:highlight w:val="none"/>
              </w:rPr>
              <w:t>000元/年</w:t>
            </w:r>
          </w:p>
        </w:tc>
        <w:tc>
          <w:tcPr>
            <w:tcW w:w="2261" w:type="dxa"/>
            <w:tcBorders>
              <w:top w:val="single" w:color="auto" w:sz="4" w:space="0"/>
              <w:left w:val="single" w:color="auto" w:sz="4" w:space="0"/>
              <w:bottom w:val="single" w:color="auto" w:sz="4" w:space="0"/>
              <w:right w:val="single" w:color="auto" w:sz="4" w:space="0"/>
            </w:tcBorders>
            <w:noWrap w:val="0"/>
            <w:vAlign w:val="center"/>
          </w:tcPr>
          <w:p w14:paraId="1F049196">
            <w:pPr>
              <w:keepNext w:val="0"/>
              <w:keepLines w:val="0"/>
              <w:pageBreakBefore w:val="0"/>
              <w:widowControl/>
              <w:tabs>
                <w:tab w:val="left" w:pos="180"/>
                <w:tab w:val="left" w:pos="720"/>
              </w:tabs>
              <w:kinsoku/>
              <w:wordWrap/>
              <w:overflowPunct/>
              <w:topLinePunct w:val="0"/>
              <w:autoSpaceDE/>
              <w:autoSpaceDN/>
              <w:bidi w:val="0"/>
              <w:adjustRightInd w:val="0"/>
              <w:snapToGrid w:val="0"/>
              <w:spacing w:line="560" w:lineRule="atLeast"/>
              <w:jc w:val="center"/>
              <w:textAlignment w:val="auto"/>
              <w:rPr>
                <w:rFonts w:hint="eastAsia" w:ascii="仿宋_GB2312" w:hAnsi="仿宋_GB2312" w:eastAsia="仿宋_GB2312" w:cs="仿宋_GB2312"/>
                <w:kern w:val="0"/>
                <w:sz w:val="28"/>
                <w:szCs w:val="28"/>
                <w:highlight w:val="none"/>
              </w:rPr>
            </w:pPr>
            <w:r>
              <w:rPr>
                <w:rFonts w:hint="eastAsia" w:ascii="仿宋_GB2312" w:hAnsi="仿宋_GB2312" w:eastAsia="仿宋_GB2312" w:cs="仿宋_GB2312"/>
                <w:kern w:val="0"/>
                <w:sz w:val="28"/>
                <w:szCs w:val="28"/>
                <w:highlight w:val="none"/>
              </w:rPr>
              <w:t>50%</w:t>
            </w:r>
          </w:p>
        </w:tc>
      </w:tr>
    </w:tbl>
    <w:p w14:paraId="0629672C">
      <w:pPr>
        <w:keepNext w:val="0"/>
        <w:keepLines w:val="0"/>
        <w:pageBreakBefore w:val="0"/>
        <w:kinsoku/>
        <w:wordWrap/>
        <w:overflowPunct/>
        <w:topLinePunct w:val="0"/>
        <w:autoSpaceDE/>
        <w:autoSpaceDN/>
        <w:bidi w:val="0"/>
        <w:adjustRightInd w:val="0"/>
        <w:snapToGrid w:val="0"/>
        <w:spacing w:line="560" w:lineRule="atLeast"/>
        <w:ind w:firstLine="840" w:firstLineChars="300"/>
        <w:jc w:val="left"/>
        <w:textAlignment w:val="auto"/>
        <w:rPr>
          <w:rFonts w:hint="eastAsia" w:ascii="仿宋_GB2312" w:hAnsi="仿宋_GB2312" w:eastAsia="仿宋_GB2312" w:cs="仿宋_GB2312"/>
          <w:color w:val="000000"/>
          <w:sz w:val="28"/>
          <w:szCs w:val="28"/>
          <w:highlight w:val="none"/>
          <w:lang w:val="en-US"/>
        </w:rPr>
      </w:pPr>
      <w:r>
        <w:rPr>
          <w:rFonts w:hint="eastAsia" w:ascii="仿宋_GB2312" w:hAnsi="仿宋_GB2312" w:eastAsia="仿宋_GB2312" w:cs="仿宋_GB2312"/>
          <w:color w:val="000000"/>
          <w:sz w:val="28"/>
          <w:szCs w:val="28"/>
          <w:highlight w:val="none"/>
        </w:rPr>
        <w:t>注：</w:t>
      </w:r>
      <w:r>
        <w:rPr>
          <w:rFonts w:hint="eastAsia" w:ascii="仿宋_GB2312" w:hAnsi="仿宋_GB2312" w:eastAsia="仿宋_GB2312" w:cs="仿宋_GB2312"/>
          <w:color w:val="000000"/>
          <w:sz w:val="28"/>
          <w:szCs w:val="28"/>
          <w:highlight w:val="none"/>
          <w:lang w:val="en-US" w:eastAsia="zh-CN"/>
        </w:rPr>
        <w:t>2025级及之后年级适用此标准。</w:t>
      </w:r>
    </w:p>
    <w:p w14:paraId="5E5335C0">
      <w:pPr>
        <w:keepNext w:val="0"/>
        <w:keepLines w:val="0"/>
        <w:pageBreakBefore w:val="0"/>
        <w:kinsoku/>
        <w:wordWrap/>
        <w:overflowPunct/>
        <w:topLinePunct w:val="0"/>
        <w:autoSpaceDE/>
        <w:autoSpaceDN/>
        <w:bidi w:val="0"/>
        <w:adjustRightInd w:val="0"/>
        <w:snapToGrid w:val="0"/>
        <w:spacing w:line="560" w:lineRule="atLeast"/>
        <w:jc w:val="center"/>
        <w:textAlignment w:val="auto"/>
        <w:rPr>
          <w:rFonts w:hint="eastAsia" w:ascii="仿宋_GB2312" w:hAnsi="仿宋_GB2312" w:eastAsia="仿宋_GB2312" w:cs="仿宋_GB2312"/>
          <w:b/>
          <w:bCs/>
          <w:color w:val="000000"/>
          <w:sz w:val="28"/>
          <w:szCs w:val="28"/>
        </w:rPr>
      </w:pPr>
    </w:p>
    <w:p w14:paraId="2FFDF01F">
      <w:pPr>
        <w:keepNext w:val="0"/>
        <w:keepLines w:val="0"/>
        <w:pageBreakBefore w:val="0"/>
        <w:kinsoku/>
        <w:wordWrap/>
        <w:overflowPunct/>
        <w:topLinePunct w:val="0"/>
        <w:autoSpaceDE/>
        <w:autoSpaceDN/>
        <w:bidi w:val="0"/>
        <w:adjustRightInd w:val="0"/>
        <w:snapToGrid w:val="0"/>
        <w:spacing w:line="560" w:lineRule="atLeast"/>
        <w:jc w:val="center"/>
        <w:textAlignment w:val="auto"/>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第三章  申请条件、评奖学年、评奖规则</w:t>
      </w:r>
    </w:p>
    <w:p w14:paraId="63DC75D6">
      <w:pPr>
        <w:keepNext w:val="0"/>
        <w:keepLines w:val="0"/>
        <w:pageBreakBefore w:val="0"/>
        <w:kinsoku/>
        <w:wordWrap/>
        <w:overflowPunct/>
        <w:topLinePunct w:val="0"/>
        <w:autoSpaceDE/>
        <w:autoSpaceDN/>
        <w:bidi w:val="0"/>
        <w:adjustRightInd w:val="0"/>
        <w:snapToGrid w:val="0"/>
        <w:spacing w:line="560" w:lineRule="atLeast"/>
        <w:ind w:firstLine="562" w:firstLineChars="200"/>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b/>
          <w:color w:val="000000"/>
          <w:sz w:val="28"/>
          <w:szCs w:val="28"/>
        </w:rPr>
        <w:t>第八条</w:t>
      </w:r>
      <w:r>
        <w:rPr>
          <w:rFonts w:hint="eastAsia" w:ascii="仿宋_GB2312" w:hAnsi="仿宋_GB2312" w:eastAsia="仿宋_GB2312" w:cs="仿宋_GB2312"/>
          <w:color w:val="000000"/>
          <w:sz w:val="28"/>
          <w:szCs w:val="28"/>
        </w:rPr>
        <w:t xml:space="preserve">  研究生学业奖学金的基本申请条件</w:t>
      </w:r>
    </w:p>
    <w:p w14:paraId="03997006">
      <w:pPr>
        <w:keepNext w:val="0"/>
        <w:keepLines w:val="0"/>
        <w:pageBreakBefore w:val="0"/>
        <w:kinsoku/>
        <w:wordWrap/>
        <w:overflowPunct/>
        <w:topLinePunct w:val="0"/>
        <w:autoSpaceDE/>
        <w:autoSpaceDN/>
        <w:bidi w:val="0"/>
        <w:adjustRightInd w:val="0"/>
        <w:snapToGrid w:val="0"/>
        <w:spacing w:line="560" w:lineRule="atLeast"/>
        <w:ind w:firstLine="560" w:firstLineChars="200"/>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（一）热爱社会主义祖国，拥护中国共产党的领导；</w:t>
      </w:r>
    </w:p>
    <w:p w14:paraId="66EC35DD">
      <w:pPr>
        <w:keepNext w:val="0"/>
        <w:keepLines w:val="0"/>
        <w:pageBreakBefore w:val="0"/>
        <w:kinsoku/>
        <w:wordWrap/>
        <w:overflowPunct/>
        <w:topLinePunct w:val="0"/>
        <w:autoSpaceDE/>
        <w:autoSpaceDN/>
        <w:bidi w:val="0"/>
        <w:adjustRightInd w:val="0"/>
        <w:snapToGrid w:val="0"/>
        <w:spacing w:line="560" w:lineRule="atLeast"/>
        <w:ind w:firstLine="560" w:firstLineChars="200"/>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（二）遵守宪法和法律，遵守学校规章制度；</w:t>
      </w:r>
    </w:p>
    <w:p w14:paraId="0004BE29">
      <w:pPr>
        <w:keepNext w:val="0"/>
        <w:keepLines w:val="0"/>
        <w:pageBreakBefore w:val="0"/>
        <w:kinsoku/>
        <w:wordWrap/>
        <w:overflowPunct/>
        <w:topLinePunct w:val="0"/>
        <w:autoSpaceDE/>
        <w:autoSpaceDN/>
        <w:bidi w:val="0"/>
        <w:adjustRightInd w:val="0"/>
        <w:snapToGrid w:val="0"/>
        <w:spacing w:line="560" w:lineRule="atLeast"/>
        <w:ind w:firstLine="560" w:firstLineChars="200"/>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（三）诚实守信，品学兼优；</w:t>
      </w:r>
    </w:p>
    <w:p w14:paraId="6962CEEC">
      <w:pPr>
        <w:keepNext w:val="0"/>
        <w:keepLines w:val="0"/>
        <w:pageBreakBefore w:val="0"/>
        <w:kinsoku/>
        <w:wordWrap/>
        <w:overflowPunct/>
        <w:topLinePunct w:val="0"/>
        <w:autoSpaceDE/>
        <w:autoSpaceDN/>
        <w:bidi w:val="0"/>
        <w:adjustRightInd w:val="0"/>
        <w:snapToGrid w:val="0"/>
        <w:spacing w:line="560" w:lineRule="atLeast"/>
        <w:ind w:firstLine="560" w:firstLineChars="200"/>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（四）积极参与科学研究和社会实践。</w:t>
      </w:r>
    </w:p>
    <w:p w14:paraId="540C05C0">
      <w:pPr>
        <w:keepNext w:val="0"/>
        <w:keepLines w:val="0"/>
        <w:pageBreakBefore w:val="0"/>
        <w:kinsoku/>
        <w:wordWrap/>
        <w:overflowPunct/>
        <w:topLinePunct w:val="0"/>
        <w:autoSpaceDE/>
        <w:autoSpaceDN/>
        <w:bidi w:val="0"/>
        <w:adjustRightInd w:val="0"/>
        <w:snapToGrid w:val="0"/>
        <w:spacing w:line="560" w:lineRule="atLeast"/>
        <w:ind w:firstLine="562" w:firstLineChars="200"/>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b/>
          <w:color w:val="000000"/>
          <w:sz w:val="28"/>
          <w:szCs w:val="28"/>
        </w:rPr>
        <w:t>第九条</w:t>
      </w:r>
      <w:r>
        <w:rPr>
          <w:rFonts w:hint="eastAsia" w:ascii="仿宋_GB2312" w:hAnsi="仿宋_GB2312" w:eastAsia="仿宋_GB2312" w:cs="仿宋_GB2312"/>
          <w:color w:val="000000"/>
          <w:sz w:val="28"/>
          <w:szCs w:val="28"/>
        </w:rPr>
        <w:t xml:space="preserve">  除新生学业奖学金外，在校研究生学年学业奖学金的评奖学年为上年9月1日至当年8月31日。</w:t>
      </w:r>
    </w:p>
    <w:p w14:paraId="6F4C9647">
      <w:pPr>
        <w:keepNext w:val="0"/>
        <w:keepLines w:val="0"/>
        <w:pageBreakBefore w:val="0"/>
        <w:kinsoku/>
        <w:wordWrap/>
        <w:overflowPunct/>
        <w:topLinePunct w:val="0"/>
        <w:autoSpaceDE/>
        <w:autoSpaceDN/>
        <w:bidi w:val="0"/>
        <w:adjustRightInd w:val="0"/>
        <w:snapToGrid w:val="0"/>
        <w:spacing w:line="560" w:lineRule="atLeast"/>
        <w:ind w:firstLine="562" w:firstLineChars="200"/>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b/>
          <w:color w:val="000000"/>
          <w:sz w:val="28"/>
          <w:szCs w:val="28"/>
        </w:rPr>
        <w:t>第十条</w:t>
      </w:r>
      <w:r>
        <w:rPr>
          <w:rFonts w:hint="eastAsia" w:ascii="仿宋_GB2312" w:hAnsi="仿宋_GB2312" w:eastAsia="仿宋_GB2312" w:cs="仿宋_GB2312"/>
          <w:color w:val="000000"/>
          <w:sz w:val="28"/>
          <w:szCs w:val="28"/>
        </w:rPr>
        <w:t xml:space="preserve">  学院按照同一学年研究生综合测评结果择优评定学年学业奖学金。学院评奖办法以文件形式报校党委研究生工作部备案后由各学院及时向研究生公布。</w:t>
      </w:r>
    </w:p>
    <w:p w14:paraId="3A209216">
      <w:pPr>
        <w:keepNext w:val="0"/>
        <w:keepLines w:val="0"/>
        <w:pageBreakBefore w:val="0"/>
        <w:kinsoku/>
        <w:wordWrap/>
        <w:overflowPunct/>
        <w:topLinePunct w:val="0"/>
        <w:autoSpaceDE/>
        <w:autoSpaceDN/>
        <w:bidi w:val="0"/>
        <w:adjustRightInd w:val="0"/>
        <w:snapToGrid w:val="0"/>
        <w:spacing w:line="560" w:lineRule="atLeast"/>
        <w:ind w:firstLine="562" w:firstLineChars="200"/>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b/>
          <w:color w:val="000000"/>
          <w:sz w:val="28"/>
          <w:szCs w:val="28"/>
        </w:rPr>
        <w:t xml:space="preserve">第十一条 </w:t>
      </w:r>
      <w:r>
        <w:rPr>
          <w:rFonts w:hint="eastAsia" w:ascii="仿宋_GB2312" w:hAnsi="仿宋_GB2312" w:eastAsia="仿宋_GB2312" w:cs="仿宋_GB2312"/>
          <w:color w:val="000000"/>
          <w:sz w:val="28"/>
          <w:szCs w:val="28"/>
        </w:rPr>
        <w:t xml:space="preserve"> 有以下情形者，均无资格参加当年度研究生学业奖学金评选：</w:t>
      </w:r>
    </w:p>
    <w:p w14:paraId="08929CFB">
      <w:pPr>
        <w:keepNext w:val="0"/>
        <w:keepLines w:val="0"/>
        <w:pageBreakBefore w:val="0"/>
        <w:kinsoku/>
        <w:wordWrap/>
        <w:overflowPunct/>
        <w:topLinePunct w:val="0"/>
        <w:autoSpaceDE/>
        <w:autoSpaceDN/>
        <w:bidi w:val="0"/>
        <w:adjustRightInd w:val="0"/>
        <w:snapToGrid w:val="0"/>
        <w:spacing w:line="560" w:lineRule="atLeast"/>
        <w:ind w:firstLine="560" w:firstLineChars="200"/>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1.违反研究生入学考试规定、违反研究生学籍管理规定、违反学校学生违纪处分条例的，不得参加当年学业奖学金的评审。</w:t>
      </w:r>
    </w:p>
    <w:p w14:paraId="0DF40564">
      <w:pPr>
        <w:keepNext w:val="0"/>
        <w:keepLines w:val="0"/>
        <w:pageBreakBefore w:val="0"/>
        <w:kinsoku/>
        <w:wordWrap/>
        <w:overflowPunct/>
        <w:topLinePunct w:val="0"/>
        <w:autoSpaceDE/>
        <w:autoSpaceDN/>
        <w:bidi w:val="0"/>
        <w:adjustRightInd w:val="0"/>
        <w:snapToGrid w:val="0"/>
        <w:spacing w:line="560" w:lineRule="atLeast"/>
        <w:ind w:firstLine="560" w:firstLineChars="200"/>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2.无正当理由，欠缴研究生学费。</w:t>
      </w:r>
    </w:p>
    <w:p w14:paraId="4475EC32">
      <w:pPr>
        <w:keepNext w:val="0"/>
        <w:keepLines w:val="0"/>
        <w:pageBreakBefore w:val="0"/>
        <w:kinsoku/>
        <w:wordWrap/>
        <w:overflowPunct/>
        <w:topLinePunct w:val="0"/>
        <w:autoSpaceDE/>
        <w:autoSpaceDN/>
        <w:bidi w:val="0"/>
        <w:adjustRightInd w:val="0"/>
        <w:snapToGrid w:val="0"/>
        <w:spacing w:line="560" w:lineRule="atLeast"/>
        <w:ind w:firstLine="560" w:firstLineChars="200"/>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3.违反研究生学术道德规范。</w:t>
      </w:r>
    </w:p>
    <w:p w14:paraId="30EC1FD6">
      <w:pPr>
        <w:keepNext w:val="0"/>
        <w:keepLines w:val="0"/>
        <w:pageBreakBefore w:val="0"/>
        <w:kinsoku/>
        <w:wordWrap/>
        <w:overflowPunct/>
        <w:topLinePunct w:val="0"/>
        <w:autoSpaceDE/>
        <w:autoSpaceDN/>
        <w:bidi w:val="0"/>
        <w:adjustRightInd w:val="0"/>
        <w:snapToGrid w:val="0"/>
        <w:spacing w:line="560" w:lineRule="atLeast"/>
        <w:ind w:firstLine="560" w:firstLineChars="200"/>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4.违反学生公寓管理规定，在学生寝室文明建设检查中不合格。</w:t>
      </w:r>
    </w:p>
    <w:p w14:paraId="44EC75ED">
      <w:pPr>
        <w:keepNext w:val="0"/>
        <w:keepLines w:val="0"/>
        <w:pageBreakBefore w:val="0"/>
        <w:kinsoku/>
        <w:wordWrap/>
        <w:overflowPunct/>
        <w:topLinePunct w:val="0"/>
        <w:autoSpaceDE/>
        <w:autoSpaceDN/>
        <w:bidi w:val="0"/>
        <w:adjustRightInd w:val="0"/>
        <w:snapToGrid w:val="0"/>
        <w:spacing w:line="560" w:lineRule="atLeast"/>
        <w:ind w:firstLine="560" w:firstLineChars="200"/>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5.发生学院认为不适合参评的其他情况。</w:t>
      </w:r>
    </w:p>
    <w:p w14:paraId="559DAE0E">
      <w:pPr>
        <w:keepNext w:val="0"/>
        <w:keepLines w:val="0"/>
        <w:pageBreakBefore w:val="0"/>
        <w:kinsoku/>
        <w:wordWrap/>
        <w:overflowPunct/>
        <w:topLinePunct w:val="0"/>
        <w:autoSpaceDE/>
        <w:autoSpaceDN/>
        <w:bidi w:val="0"/>
        <w:adjustRightInd w:val="0"/>
        <w:snapToGrid w:val="0"/>
        <w:spacing w:line="560" w:lineRule="atLeast"/>
        <w:ind w:firstLine="560" w:firstLineChars="200"/>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已获得研究生学业奖学金的同学，若发现有上述情况的，撤销其学业奖学金获奖资格，收回获奖证书和奖金。</w:t>
      </w:r>
    </w:p>
    <w:p w14:paraId="228C1695">
      <w:pPr>
        <w:keepNext w:val="0"/>
        <w:keepLines w:val="0"/>
        <w:pageBreakBefore w:val="0"/>
        <w:kinsoku/>
        <w:wordWrap/>
        <w:overflowPunct/>
        <w:topLinePunct w:val="0"/>
        <w:autoSpaceDE/>
        <w:autoSpaceDN/>
        <w:bidi w:val="0"/>
        <w:adjustRightInd w:val="0"/>
        <w:snapToGrid w:val="0"/>
        <w:spacing w:line="560" w:lineRule="atLeast"/>
        <w:ind w:firstLine="560" w:firstLineChars="200"/>
        <w:textAlignment w:val="auto"/>
        <w:rPr>
          <w:rFonts w:hint="eastAsia" w:ascii="仿宋_GB2312" w:hAnsi="仿宋_GB2312" w:eastAsia="仿宋_GB2312" w:cs="仿宋_GB2312"/>
          <w:color w:val="000000"/>
          <w:sz w:val="28"/>
          <w:szCs w:val="28"/>
        </w:rPr>
      </w:pPr>
    </w:p>
    <w:p w14:paraId="180E0D70">
      <w:pPr>
        <w:keepNext w:val="0"/>
        <w:keepLines w:val="0"/>
        <w:pageBreakBefore w:val="0"/>
        <w:kinsoku/>
        <w:wordWrap/>
        <w:overflowPunct/>
        <w:topLinePunct w:val="0"/>
        <w:autoSpaceDE/>
        <w:autoSpaceDN/>
        <w:bidi w:val="0"/>
        <w:adjustRightInd w:val="0"/>
        <w:snapToGrid w:val="0"/>
        <w:spacing w:line="560" w:lineRule="atLeast"/>
        <w:jc w:val="center"/>
        <w:textAlignment w:val="auto"/>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第四章  评审组织与程序</w:t>
      </w:r>
    </w:p>
    <w:p w14:paraId="56F8DFF8">
      <w:pPr>
        <w:keepNext w:val="0"/>
        <w:keepLines w:val="0"/>
        <w:pageBreakBefore w:val="0"/>
        <w:kinsoku/>
        <w:wordWrap/>
        <w:overflowPunct/>
        <w:topLinePunct w:val="0"/>
        <w:autoSpaceDE/>
        <w:autoSpaceDN/>
        <w:bidi w:val="0"/>
        <w:adjustRightInd w:val="0"/>
        <w:snapToGrid w:val="0"/>
        <w:spacing w:line="560" w:lineRule="atLeast"/>
        <w:ind w:firstLine="562" w:firstLineChars="200"/>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b/>
          <w:color w:val="000000"/>
          <w:sz w:val="28"/>
          <w:szCs w:val="28"/>
        </w:rPr>
        <w:t>第十二条</w:t>
      </w:r>
      <w:r>
        <w:rPr>
          <w:rFonts w:hint="eastAsia" w:ascii="仿宋_GB2312" w:hAnsi="仿宋_GB2312" w:eastAsia="仿宋_GB2312" w:cs="仿宋_GB2312"/>
          <w:color w:val="000000"/>
          <w:sz w:val="28"/>
          <w:szCs w:val="28"/>
        </w:rPr>
        <w:t xml:space="preserve">  学院成立院研究生学业奖学金评审</w:t>
      </w:r>
      <w:r>
        <w:rPr>
          <w:rFonts w:hint="eastAsia" w:ascii="仿宋_GB2312" w:hAnsi="仿宋_GB2312" w:eastAsia="仿宋_GB2312" w:cs="仿宋_GB2312"/>
          <w:color w:val="000000"/>
          <w:sz w:val="28"/>
          <w:szCs w:val="28"/>
          <w:lang w:eastAsia="zh-CN"/>
        </w:rPr>
        <w:t>小组</w:t>
      </w:r>
      <w:r>
        <w:rPr>
          <w:rFonts w:hint="eastAsia" w:ascii="仿宋_GB2312" w:hAnsi="仿宋_GB2312" w:eastAsia="仿宋_GB2312" w:cs="仿宋_GB2312"/>
          <w:color w:val="000000"/>
          <w:sz w:val="28"/>
          <w:szCs w:val="28"/>
        </w:rPr>
        <w:t>，由学院主要领导任</w:t>
      </w:r>
      <w:r>
        <w:rPr>
          <w:rFonts w:hint="eastAsia" w:ascii="仿宋_GB2312" w:hAnsi="仿宋_GB2312" w:eastAsia="仿宋_GB2312" w:cs="仿宋_GB2312"/>
          <w:color w:val="000000"/>
          <w:sz w:val="28"/>
          <w:szCs w:val="28"/>
          <w:lang w:val="en-US" w:eastAsia="zh-CN"/>
        </w:rPr>
        <w:t>组长</w:t>
      </w:r>
      <w:r>
        <w:rPr>
          <w:rFonts w:hint="eastAsia" w:ascii="仿宋_GB2312" w:hAnsi="仿宋_GB2312" w:eastAsia="仿宋_GB2312" w:cs="仿宋_GB2312"/>
          <w:color w:val="000000"/>
          <w:sz w:val="28"/>
          <w:szCs w:val="28"/>
        </w:rPr>
        <w:t>，分管领导任副</w:t>
      </w:r>
      <w:r>
        <w:rPr>
          <w:rFonts w:hint="eastAsia" w:ascii="仿宋_GB2312" w:hAnsi="仿宋_GB2312" w:eastAsia="仿宋_GB2312" w:cs="仿宋_GB2312"/>
          <w:color w:val="000000"/>
          <w:sz w:val="28"/>
          <w:szCs w:val="28"/>
          <w:lang w:val="en-US" w:eastAsia="zh-CN"/>
        </w:rPr>
        <w:t>组长</w:t>
      </w:r>
      <w:r>
        <w:rPr>
          <w:rFonts w:hint="eastAsia" w:ascii="仿宋_GB2312" w:hAnsi="仿宋_GB2312" w:eastAsia="仿宋_GB2312" w:cs="仿宋_GB2312"/>
          <w:color w:val="000000"/>
          <w:sz w:val="28"/>
          <w:szCs w:val="28"/>
        </w:rPr>
        <w:t>，研究生导师代表、研究生辅导员、研究生教学秘书、研究生代表任委员，报学校党委研究生工作部备案。</w:t>
      </w:r>
    </w:p>
    <w:p w14:paraId="07BDF6EB">
      <w:pPr>
        <w:keepNext w:val="0"/>
        <w:keepLines w:val="0"/>
        <w:pageBreakBefore w:val="0"/>
        <w:kinsoku/>
        <w:wordWrap/>
        <w:overflowPunct/>
        <w:topLinePunct w:val="0"/>
        <w:autoSpaceDE/>
        <w:autoSpaceDN/>
        <w:bidi w:val="0"/>
        <w:adjustRightInd w:val="0"/>
        <w:snapToGrid w:val="0"/>
        <w:spacing w:line="560" w:lineRule="atLeast"/>
        <w:ind w:firstLine="562" w:firstLineChars="200"/>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b/>
          <w:color w:val="000000"/>
          <w:sz w:val="28"/>
          <w:szCs w:val="28"/>
        </w:rPr>
        <w:t>第十三条</w:t>
      </w:r>
      <w:r>
        <w:rPr>
          <w:rFonts w:hint="eastAsia" w:ascii="仿宋_GB2312" w:hAnsi="仿宋_GB2312" w:eastAsia="仿宋_GB2312" w:cs="仿宋_GB2312"/>
          <w:color w:val="000000"/>
          <w:sz w:val="28"/>
          <w:szCs w:val="28"/>
        </w:rPr>
        <w:t xml:space="preserve">  研究生新生学业奖学金的发放工作由研究生院负责；研究生学年学业奖学金由学院进行初评，学校审定。</w:t>
      </w:r>
    </w:p>
    <w:p w14:paraId="24D6FE5C">
      <w:pPr>
        <w:keepNext w:val="0"/>
        <w:keepLines w:val="0"/>
        <w:pageBreakBefore w:val="0"/>
        <w:kinsoku/>
        <w:wordWrap/>
        <w:overflowPunct/>
        <w:topLinePunct w:val="0"/>
        <w:autoSpaceDE/>
        <w:autoSpaceDN/>
        <w:bidi w:val="0"/>
        <w:adjustRightInd w:val="0"/>
        <w:snapToGrid w:val="0"/>
        <w:spacing w:line="560" w:lineRule="atLeast"/>
        <w:ind w:firstLine="562" w:firstLineChars="200"/>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b/>
          <w:color w:val="000000"/>
          <w:sz w:val="28"/>
          <w:szCs w:val="28"/>
        </w:rPr>
        <w:t>第十四条</w:t>
      </w:r>
      <w:r>
        <w:rPr>
          <w:rFonts w:hint="eastAsia" w:ascii="仿宋_GB2312" w:hAnsi="仿宋_GB2312" w:eastAsia="仿宋_GB2312" w:cs="仿宋_GB2312"/>
          <w:color w:val="000000"/>
          <w:sz w:val="28"/>
          <w:szCs w:val="28"/>
        </w:rPr>
        <w:t xml:space="preserve">  学院研究生学年学业奖学金评审</w:t>
      </w:r>
      <w:r>
        <w:rPr>
          <w:rFonts w:hint="eastAsia" w:ascii="仿宋_GB2312" w:hAnsi="仿宋_GB2312" w:eastAsia="仿宋_GB2312" w:cs="仿宋_GB2312"/>
          <w:color w:val="000000"/>
          <w:sz w:val="28"/>
          <w:szCs w:val="28"/>
          <w:lang w:eastAsia="zh-CN"/>
        </w:rPr>
        <w:t>小组</w:t>
      </w:r>
      <w:r>
        <w:rPr>
          <w:rFonts w:hint="eastAsia" w:ascii="仿宋_GB2312" w:hAnsi="仿宋_GB2312" w:eastAsia="仿宋_GB2312" w:cs="仿宋_GB2312"/>
          <w:color w:val="000000"/>
          <w:sz w:val="28"/>
          <w:szCs w:val="28"/>
        </w:rPr>
        <w:t>确定获奖学生名单后，在本学院内进行不少于3个工作日的公示。公示无异议后，提交学校研究生学业奖学金评审领导小组审定，审定结果在全校范围内进行不少于2个工作日的公示。对研究生学业奖学金评审结果有异议的，可在学院公示阶段向学院评审</w:t>
      </w:r>
      <w:r>
        <w:rPr>
          <w:rFonts w:hint="eastAsia" w:ascii="仿宋_GB2312" w:hAnsi="仿宋_GB2312" w:eastAsia="仿宋_GB2312" w:cs="仿宋_GB2312"/>
          <w:color w:val="000000"/>
          <w:sz w:val="28"/>
          <w:szCs w:val="28"/>
          <w:lang w:eastAsia="zh-CN"/>
        </w:rPr>
        <w:t>小组</w:t>
      </w:r>
      <w:r>
        <w:rPr>
          <w:rFonts w:hint="eastAsia" w:ascii="仿宋_GB2312" w:hAnsi="仿宋_GB2312" w:eastAsia="仿宋_GB2312" w:cs="仿宋_GB2312"/>
          <w:color w:val="000000"/>
          <w:sz w:val="28"/>
          <w:szCs w:val="28"/>
        </w:rPr>
        <w:t>提出申诉，学院评审</w:t>
      </w:r>
      <w:r>
        <w:rPr>
          <w:rFonts w:hint="eastAsia" w:ascii="仿宋_GB2312" w:hAnsi="仿宋_GB2312" w:eastAsia="仿宋_GB2312" w:cs="仿宋_GB2312"/>
          <w:color w:val="000000"/>
          <w:sz w:val="28"/>
          <w:szCs w:val="28"/>
          <w:lang w:eastAsia="zh-CN"/>
        </w:rPr>
        <w:t>小组</w:t>
      </w:r>
      <w:r>
        <w:rPr>
          <w:rFonts w:hint="eastAsia" w:ascii="仿宋_GB2312" w:hAnsi="仿宋_GB2312" w:eastAsia="仿宋_GB2312" w:cs="仿宋_GB2312"/>
          <w:color w:val="000000"/>
          <w:sz w:val="28"/>
          <w:szCs w:val="28"/>
        </w:rPr>
        <w:t>及时研究并予以答复。如申诉人对学院作出的答复仍存在异议，可在学校公示阶段向校研究生学业奖学金评审领导小组提请裁决。</w:t>
      </w:r>
    </w:p>
    <w:p w14:paraId="09FB549E">
      <w:pPr>
        <w:keepNext w:val="0"/>
        <w:keepLines w:val="0"/>
        <w:pageBreakBefore w:val="0"/>
        <w:kinsoku/>
        <w:wordWrap/>
        <w:overflowPunct/>
        <w:topLinePunct w:val="0"/>
        <w:autoSpaceDE/>
        <w:autoSpaceDN/>
        <w:bidi w:val="0"/>
        <w:adjustRightInd w:val="0"/>
        <w:snapToGrid w:val="0"/>
        <w:spacing w:line="560" w:lineRule="atLeast"/>
        <w:ind w:firstLine="560" w:firstLineChars="200"/>
        <w:textAlignment w:val="auto"/>
        <w:rPr>
          <w:rFonts w:hint="eastAsia" w:ascii="仿宋_GB2312" w:hAnsi="仿宋_GB2312" w:eastAsia="仿宋_GB2312" w:cs="仿宋_GB2312"/>
          <w:color w:val="000000"/>
          <w:sz w:val="28"/>
          <w:szCs w:val="28"/>
        </w:rPr>
      </w:pPr>
    </w:p>
    <w:p w14:paraId="21DE67F0">
      <w:pPr>
        <w:keepNext w:val="0"/>
        <w:keepLines w:val="0"/>
        <w:pageBreakBefore w:val="0"/>
        <w:kinsoku/>
        <w:wordWrap/>
        <w:overflowPunct/>
        <w:topLinePunct w:val="0"/>
        <w:autoSpaceDE/>
        <w:autoSpaceDN/>
        <w:bidi w:val="0"/>
        <w:adjustRightInd w:val="0"/>
        <w:snapToGrid w:val="0"/>
        <w:spacing w:line="560" w:lineRule="atLeast"/>
        <w:jc w:val="center"/>
        <w:textAlignment w:val="auto"/>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第五章  奖学金管理与监督</w:t>
      </w:r>
    </w:p>
    <w:p w14:paraId="27C0D5C6">
      <w:pPr>
        <w:keepNext w:val="0"/>
        <w:keepLines w:val="0"/>
        <w:pageBreakBefore w:val="0"/>
        <w:kinsoku/>
        <w:wordWrap/>
        <w:overflowPunct/>
        <w:topLinePunct w:val="0"/>
        <w:autoSpaceDE/>
        <w:autoSpaceDN/>
        <w:bidi w:val="0"/>
        <w:adjustRightInd w:val="0"/>
        <w:snapToGrid w:val="0"/>
        <w:spacing w:line="560" w:lineRule="atLeast"/>
        <w:ind w:firstLine="562" w:firstLineChars="200"/>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b/>
          <w:color w:val="000000"/>
          <w:sz w:val="28"/>
          <w:szCs w:val="28"/>
        </w:rPr>
        <w:t>第十五条</w:t>
      </w:r>
      <w:r>
        <w:rPr>
          <w:rFonts w:hint="eastAsia" w:ascii="仿宋_GB2312" w:hAnsi="仿宋_GB2312" w:eastAsia="仿宋_GB2312" w:cs="仿宋_GB2312"/>
          <w:color w:val="000000"/>
          <w:sz w:val="28"/>
          <w:szCs w:val="28"/>
        </w:rPr>
        <w:t xml:space="preserve">  学校根据上级拨款情况将当年研究生学业奖学金一次性发放给获奖研究生，并将研究生获得学业奖学金情况记入研究生学籍档案。</w:t>
      </w:r>
    </w:p>
    <w:p w14:paraId="19B42FF6">
      <w:pPr>
        <w:keepNext w:val="0"/>
        <w:keepLines w:val="0"/>
        <w:pageBreakBefore w:val="0"/>
        <w:kinsoku/>
        <w:wordWrap/>
        <w:overflowPunct/>
        <w:topLinePunct w:val="0"/>
        <w:autoSpaceDE/>
        <w:autoSpaceDN/>
        <w:bidi w:val="0"/>
        <w:adjustRightInd w:val="0"/>
        <w:snapToGrid w:val="0"/>
        <w:spacing w:line="560" w:lineRule="atLeast"/>
        <w:ind w:firstLine="562" w:firstLineChars="200"/>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b/>
          <w:color w:val="000000"/>
          <w:sz w:val="28"/>
          <w:szCs w:val="28"/>
        </w:rPr>
        <w:t>第十六条</w:t>
      </w:r>
      <w:r>
        <w:rPr>
          <w:rFonts w:hint="eastAsia" w:ascii="仿宋_GB2312" w:hAnsi="仿宋_GB2312" w:eastAsia="仿宋_GB2312" w:cs="仿宋_GB2312"/>
          <w:color w:val="000000"/>
          <w:sz w:val="28"/>
          <w:szCs w:val="28"/>
        </w:rPr>
        <w:t xml:space="preserve">  研究生学业奖学金的评审工作应坚持公正、公平、公开、择优的原则，杜绝弄虚作假。</w:t>
      </w:r>
    </w:p>
    <w:p w14:paraId="7DE5365B">
      <w:pPr>
        <w:keepNext w:val="0"/>
        <w:keepLines w:val="0"/>
        <w:pageBreakBefore w:val="0"/>
        <w:kinsoku/>
        <w:wordWrap/>
        <w:overflowPunct/>
        <w:topLinePunct w:val="0"/>
        <w:autoSpaceDE/>
        <w:autoSpaceDN/>
        <w:bidi w:val="0"/>
        <w:adjustRightInd w:val="0"/>
        <w:snapToGrid w:val="0"/>
        <w:spacing w:line="560" w:lineRule="atLeast"/>
        <w:ind w:firstLine="560" w:firstLineChars="200"/>
        <w:textAlignment w:val="auto"/>
        <w:rPr>
          <w:rFonts w:hint="eastAsia" w:ascii="仿宋_GB2312" w:hAnsi="仿宋_GB2312" w:eastAsia="仿宋_GB2312" w:cs="仿宋_GB2312"/>
          <w:color w:val="000000"/>
          <w:sz w:val="28"/>
          <w:szCs w:val="28"/>
        </w:rPr>
      </w:pPr>
    </w:p>
    <w:p w14:paraId="3185C1FC">
      <w:pPr>
        <w:keepNext w:val="0"/>
        <w:keepLines w:val="0"/>
        <w:pageBreakBefore w:val="0"/>
        <w:kinsoku/>
        <w:wordWrap/>
        <w:overflowPunct/>
        <w:topLinePunct w:val="0"/>
        <w:autoSpaceDE/>
        <w:autoSpaceDN/>
        <w:bidi w:val="0"/>
        <w:adjustRightInd w:val="0"/>
        <w:snapToGrid w:val="0"/>
        <w:spacing w:line="560" w:lineRule="atLeast"/>
        <w:jc w:val="center"/>
        <w:textAlignment w:val="auto"/>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第六章  附  则</w:t>
      </w:r>
    </w:p>
    <w:p w14:paraId="31D3A621">
      <w:pPr>
        <w:keepNext w:val="0"/>
        <w:keepLines w:val="0"/>
        <w:pageBreakBefore w:val="0"/>
        <w:kinsoku/>
        <w:wordWrap/>
        <w:overflowPunct/>
        <w:topLinePunct w:val="0"/>
        <w:autoSpaceDE/>
        <w:autoSpaceDN/>
        <w:bidi w:val="0"/>
        <w:adjustRightInd w:val="0"/>
        <w:snapToGrid w:val="0"/>
        <w:spacing w:line="560" w:lineRule="atLeast"/>
        <w:ind w:firstLine="563"/>
        <w:jc w:val="left"/>
        <w:textAlignment w:val="auto"/>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b/>
          <w:color w:val="000000"/>
          <w:sz w:val="28"/>
          <w:szCs w:val="28"/>
          <w:highlight w:val="none"/>
        </w:rPr>
        <w:t>第十七条</w:t>
      </w:r>
      <w:r>
        <w:rPr>
          <w:rFonts w:hint="eastAsia" w:ascii="仿宋_GB2312" w:hAnsi="仿宋_GB2312" w:eastAsia="仿宋_GB2312" w:cs="仿宋_GB2312"/>
          <w:color w:val="000000"/>
          <w:sz w:val="28"/>
          <w:szCs w:val="28"/>
          <w:highlight w:val="none"/>
        </w:rPr>
        <w:t xml:space="preserve">  </w:t>
      </w:r>
      <w:r>
        <w:rPr>
          <w:rFonts w:hint="eastAsia" w:ascii="仿宋_GB2312" w:hAnsi="仿宋_GB2312" w:eastAsia="仿宋_GB2312" w:cs="仿宋_GB2312"/>
          <w:sz w:val="28"/>
          <w:szCs w:val="28"/>
          <w:highlight w:val="none"/>
          <w:lang w:val="en-US" w:eastAsia="zh-CN"/>
        </w:rPr>
        <w:t>若本办法参照的学校有关办法修订，则参照新修订的办法执行。</w:t>
      </w:r>
    </w:p>
    <w:p w14:paraId="37E1A3EB">
      <w:pPr>
        <w:keepNext w:val="0"/>
        <w:keepLines w:val="0"/>
        <w:pageBreakBefore w:val="0"/>
        <w:kinsoku/>
        <w:wordWrap/>
        <w:overflowPunct/>
        <w:topLinePunct w:val="0"/>
        <w:autoSpaceDE/>
        <w:autoSpaceDN/>
        <w:bidi w:val="0"/>
        <w:adjustRightInd w:val="0"/>
        <w:snapToGrid w:val="0"/>
        <w:spacing w:line="560" w:lineRule="atLeast"/>
        <w:ind w:firstLine="562" w:firstLineChars="200"/>
        <w:textAlignment w:val="auto"/>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b/>
          <w:color w:val="000000"/>
          <w:sz w:val="28"/>
          <w:szCs w:val="28"/>
          <w:highlight w:val="none"/>
          <w:lang w:val="en-US" w:eastAsia="zh-CN"/>
        </w:rPr>
        <w:t xml:space="preserve">第十八条  </w:t>
      </w:r>
      <w:r>
        <w:rPr>
          <w:rFonts w:hint="eastAsia" w:ascii="仿宋_GB2312" w:hAnsi="仿宋_GB2312" w:eastAsia="仿宋_GB2312" w:cs="仿宋_GB2312"/>
          <w:color w:val="000000"/>
          <w:sz w:val="28"/>
          <w:szCs w:val="28"/>
          <w:highlight w:val="none"/>
        </w:rPr>
        <w:t>本办法由学院研究生学业奖学金评审</w:t>
      </w:r>
      <w:r>
        <w:rPr>
          <w:rFonts w:hint="eastAsia" w:ascii="仿宋_GB2312" w:hAnsi="仿宋_GB2312" w:eastAsia="仿宋_GB2312" w:cs="仿宋_GB2312"/>
          <w:color w:val="000000"/>
          <w:sz w:val="28"/>
          <w:szCs w:val="28"/>
          <w:highlight w:val="none"/>
          <w:lang w:eastAsia="zh-CN"/>
        </w:rPr>
        <w:t>小组</w:t>
      </w:r>
      <w:r>
        <w:rPr>
          <w:rFonts w:hint="eastAsia" w:ascii="仿宋_GB2312" w:hAnsi="仿宋_GB2312" w:eastAsia="仿宋_GB2312" w:cs="仿宋_GB2312"/>
          <w:color w:val="000000"/>
          <w:sz w:val="28"/>
          <w:szCs w:val="28"/>
          <w:highlight w:val="none"/>
        </w:rPr>
        <w:t>负责解释。</w:t>
      </w:r>
    </w:p>
    <w:p w14:paraId="50A52027">
      <w:pPr>
        <w:keepNext w:val="0"/>
        <w:keepLines w:val="0"/>
        <w:pageBreakBefore w:val="0"/>
        <w:kinsoku/>
        <w:wordWrap/>
        <w:overflowPunct/>
        <w:topLinePunct w:val="0"/>
        <w:autoSpaceDE/>
        <w:autoSpaceDN/>
        <w:bidi w:val="0"/>
        <w:adjustRightInd w:val="0"/>
        <w:snapToGrid w:val="0"/>
        <w:spacing w:line="560" w:lineRule="atLeast"/>
        <w:ind w:firstLine="562" w:firstLineChars="200"/>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b/>
          <w:color w:val="000000"/>
          <w:sz w:val="28"/>
          <w:szCs w:val="28"/>
        </w:rPr>
        <w:t>第十</w:t>
      </w:r>
      <w:r>
        <w:rPr>
          <w:rFonts w:hint="eastAsia" w:ascii="仿宋_GB2312" w:hAnsi="仿宋_GB2312" w:eastAsia="仿宋_GB2312" w:cs="仿宋_GB2312"/>
          <w:b/>
          <w:color w:val="000000"/>
          <w:sz w:val="28"/>
          <w:szCs w:val="28"/>
          <w:lang w:val="en-US" w:eastAsia="zh-CN"/>
        </w:rPr>
        <w:t>九</w:t>
      </w:r>
      <w:r>
        <w:rPr>
          <w:rFonts w:hint="eastAsia" w:ascii="仿宋_GB2312" w:hAnsi="仿宋_GB2312" w:eastAsia="仿宋_GB2312" w:cs="仿宋_GB2312"/>
          <w:b/>
          <w:color w:val="000000"/>
          <w:sz w:val="28"/>
          <w:szCs w:val="28"/>
        </w:rPr>
        <w:t>条</w:t>
      </w:r>
      <w:r>
        <w:rPr>
          <w:rFonts w:hint="eastAsia" w:ascii="仿宋_GB2312" w:hAnsi="仿宋_GB2312" w:eastAsia="仿宋_GB2312" w:cs="仿宋_GB2312"/>
          <w:color w:val="000000"/>
          <w:sz w:val="28"/>
          <w:szCs w:val="28"/>
        </w:rPr>
        <w:t xml:space="preserve">  本办法自公布之日起施行。</w:t>
      </w:r>
    </w:p>
    <w:p w14:paraId="202AA68A">
      <w:pPr>
        <w:keepNext w:val="0"/>
        <w:keepLines w:val="0"/>
        <w:pageBreakBefore w:val="0"/>
        <w:widowControl w:val="0"/>
        <w:kinsoku/>
        <w:wordWrap/>
        <w:overflowPunct/>
        <w:topLinePunct w:val="0"/>
        <w:autoSpaceDE/>
        <w:autoSpaceDN/>
        <w:bidi w:val="0"/>
        <w:adjustRightInd w:val="0"/>
        <w:snapToGrid w:val="0"/>
        <w:spacing w:line="560" w:lineRule="atLeast"/>
        <w:textAlignment w:val="auto"/>
        <w:rPr>
          <w:rFonts w:hint="eastAsia" w:ascii="仿宋_GB2312" w:hAnsi="仿宋_GB2312" w:eastAsia="仿宋_GB2312" w:cs="仿宋_GB2312"/>
          <w:sz w:val="28"/>
          <w:szCs w:val="28"/>
        </w:rPr>
      </w:pPr>
    </w:p>
    <w:p w14:paraId="2E7E189C">
      <w:pPr>
        <w:keepNext w:val="0"/>
        <w:keepLines w:val="0"/>
        <w:pageBreakBefore w:val="0"/>
        <w:widowControl w:val="0"/>
        <w:kinsoku/>
        <w:wordWrap/>
        <w:overflowPunct/>
        <w:topLinePunct w:val="0"/>
        <w:autoSpaceDE/>
        <w:autoSpaceDN/>
        <w:bidi w:val="0"/>
        <w:adjustRightInd w:val="0"/>
        <w:snapToGrid w:val="0"/>
        <w:spacing w:line="560" w:lineRule="atLeast"/>
        <w:textAlignment w:val="auto"/>
        <w:rPr>
          <w:rFonts w:hint="default" w:ascii="Times New Roman" w:hAnsi="Times New Roman" w:eastAsia="仿宋_GB2312" w:cs="Times New Roman"/>
          <w:sz w:val="32"/>
          <w:szCs w:val="32"/>
        </w:rPr>
      </w:pPr>
    </w:p>
    <w:p w14:paraId="0854366E">
      <w:pPr>
        <w:keepNext w:val="0"/>
        <w:keepLines w:val="0"/>
        <w:pageBreakBefore w:val="0"/>
        <w:widowControl w:val="0"/>
        <w:kinsoku/>
        <w:wordWrap/>
        <w:overflowPunct/>
        <w:topLinePunct w:val="0"/>
        <w:autoSpaceDE/>
        <w:autoSpaceDN/>
        <w:bidi w:val="0"/>
        <w:adjustRightInd w:val="0"/>
        <w:snapToGrid w:val="0"/>
        <w:spacing w:line="560" w:lineRule="atLeast"/>
        <w:textAlignment w:val="auto"/>
        <w:rPr>
          <w:rFonts w:hint="default" w:ascii="Times New Roman" w:hAnsi="Times New Roman" w:eastAsia="仿宋_GB2312" w:cs="Times New Roman"/>
          <w:sz w:val="32"/>
          <w:szCs w:val="32"/>
        </w:rPr>
      </w:pPr>
    </w:p>
    <w:bookmarkEnd w:id="2"/>
    <w:bookmarkEnd w:id="3"/>
    <w:p w14:paraId="5A4BA883">
      <w:pPr>
        <w:keepNext w:val="0"/>
        <w:keepLines w:val="0"/>
        <w:pageBreakBefore w:val="0"/>
        <w:widowControl w:val="0"/>
        <w:kinsoku/>
        <w:wordWrap/>
        <w:overflowPunct/>
        <w:topLinePunct w:val="0"/>
        <w:autoSpaceDE/>
        <w:autoSpaceDN/>
        <w:bidi w:val="0"/>
        <w:adjustRightInd w:val="0"/>
        <w:snapToGrid w:val="0"/>
        <w:spacing w:line="560" w:lineRule="atLeast"/>
        <w:textAlignment w:val="auto"/>
        <w:rPr>
          <w:rFonts w:hint="default" w:ascii="Times New Roman" w:hAnsi="Times New Roman" w:eastAsia="仿宋_GB2312" w:cs="Times New Roman"/>
          <w:w w:val="90"/>
          <w:sz w:val="32"/>
          <w:szCs w:val="32"/>
        </w:rPr>
      </w:pPr>
      <w:r>
        <w:rPr>
          <w:rFonts w:hint="default" w:ascii="Times New Roman" w:hAnsi="Times New Roman" w:cs="Times New Roman"/>
          <w:sz w:val="28"/>
          <w:szCs w:val="28"/>
        </w:rPr>
        <mc:AlternateContent>
          <mc:Choice Requires="wps">
            <w:drawing>
              <wp:anchor distT="0" distB="0" distL="114300" distR="114300" simplePos="0" relativeHeight="251661312" behindDoc="0" locked="0" layoutInCell="1" allowOverlap="1">
                <wp:simplePos x="0" y="0"/>
                <wp:positionH relativeFrom="column">
                  <wp:posOffset>-11430</wp:posOffset>
                </wp:positionH>
                <wp:positionV relativeFrom="paragraph">
                  <wp:posOffset>4445</wp:posOffset>
                </wp:positionV>
                <wp:extent cx="5467350" cy="0"/>
                <wp:effectExtent l="0" t="0" r="0" b="0"/>
                <wp:wrapNone/>
                <wp:docPr id="1" name="直接连接符 1"/>
                <wp:cNvGraphicFramePr/>
                <a:graphic xmlns:a="http://schemas.openxmlformats.org/drawingml/2006/main">
                  <a:graphicData uri="http://schemas.microsoft.com/office/word/2010/wordprocessingShape">
                    <wps:wsp>
                      <wps:cNvCnPr>
                        <a:cxnSpLocks noChangeShapeType="1"/>
                      </wps:cNvCnPr>
                      <wps:spPr bwMode="auto">
                        <a:xfrm>
                          <a:off x="0" y="0"/>
                          <a:ext cx="546735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0.9pt;margin-top:0.35pt;height:0pt;width:430.5pt;z-index:251661312;mso-width-relative:page;mso-height-relative:page;" filled="f" stroked="t" coordsize="21600,21600" o:gfxdata="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6gMY6tIAAAAEAQAADwAA&#10;AAAAAAABACAAAAAiAAAAZHJzL2Rvd25yZXYueG1sUEsBAhQAFAAAAAgAh07iQMSyw/fjAQAAqgMA&#10;AA4AAAAAAAAAAQAgAAAAIQEAAGRycy9lMm9Eb2MueG1sUEsFBgAAAAAGAAYAWQEAAHYFAAAAAA==&#10;">
                <v:fill on="f" focussize="0,0"/>
                <v:stroke color="#000000" joinstyle="round"/>
                <v:imagedata o:title=""/>
                <o:lock v:ext="edit" aspectratio="f"/>
              </v:line>
            </w:pict>
          </mc:Fallback>
        </mc:AlternateContent>
      </w:r>
      <w:r>
        <w:rPr>
          <w:rFonts w:hint="default" w:ascii="Times New Roman" w:hAnsi="Times New Roman" w:cs="Times New Roman"/>
          <w:sz w:val="28"/>
          <w:szCs w:val="28"/>
        </w:rP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387985</wp:posOffset>
                </wp:positionV>
                <wp:extent cx="5467350" cy="0"/>
                <wp:effectExtent l="0" t="0" r="0" b="0"/>
                <wp:wrapNone/>
                <wp:docPr id="2" name="直接连接符 2"/>
                <wp:cNvGraphicFramePr/>
                <a:graphic xmlns:a="http://schemas.openxmlformats.org/drawingml/2006/main">
                  <a:graphicData uri="http://schemas.microsoft.com/office/word/2010/wordprocessingShape">
                    <wps:wsp>
                      <wps:cNvCnPr>
                        <a:cxnSpLocks noChangeShapeType="1"/>
                      </wps:cNvCnPr>
                      <wps:spPr bwMode="auto">
                        <a:xfrm>
                          <a:off x="0" y="0"/>
                          <a:ext cx="546735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0pt;margin-top:30.55pt;height:0pt;width:430.5pt;z-index:251662336;mso-width-relative:page;mso-height-relative:page;" filled="f" stroked="t" coordsize="21600,21600" o:gfxdata="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AIaGlM0wAAAAYBAAAP&#10;AAAAAAAAAAEAIAAAACIAAABkcnMvZG93bnJldi54bWxQSwECFAAUAAAACACHTuJAEDnAU+QBAACq&#10;AwAADgAAAAAAAAABACAAAAAiAQAAZHJzL2Uyb0RvYy54bWxQSwUGAAAAAAYABgBZAQAAeAUAAAAA&#10;">
                <v:fill on="f" focussize="0,0"/>
                <v:stroke color="#000000" joinstyle="round"/>
                <v:imagedata o:title=""/>
                <o:lock v:ext="edit" aspectratio="f"/>
              </v:line>
            </w:pict>
          </mc:Fallback>
        </mc:AlternateContent>
      </w:r>
      <w:r>
        <w:rPr>
          <w:rFonts w:hint="default" w:ascii="Times New Roman" w:hAnsi="Times New Roman" w:eastAsia="仿宋_GB2312" w:cs="Times New Roman"/>
          <w:sz w:val="28"/>
          <w:szCs w:val="28"/>
        </w:rPr>
        <w:t>环境科学与工程学院办公室               202</w:t>
      </w:r>
      <w:r>
        <w:rPr>
          <w:rFonts w:hint="default" w:ascii="Times New Roman" w:hAnsi="Times New Roman" w:eastAsia="仿宋_GB2312" w:cs="Times New Roman"/>
          <w:sz w:val="28"/>
          <w:szCs w:val="28"/>
          <w:lang w:val="en-US" w:eastAsia="zh-CN"/>
        </w:rPr>
        <w:t>6</w:t>
      </w:r>
      <w:r>
        <w:rPr>
          <w:rFonts w:hint="default" w:ascii="Times New Roman" w:hAnsi="Times New Roman" w:eastAsia="仿宋_GB2312" w:cs="Times New Roman"/>
          <w:sz w:val="28"/>
          <w:szCs w:val="28"/>
        </w:rPr>
        <w:t>年1月</w:t>
      </w:r>
      <w:r>
        <w:rPr>
          <w:rFonts w:hint="default" w:ascii="Times New Roman" w:hAnsi="Times New Roman" w:eastAsia="仿宋_GB2312" w:cs="Times New Roman"/>
          <w:sz w:val="28"/>
          <w:szCs w:val="28"/>
          <w:lang w:val="en-US" w:eastAsia="zh-CN"/>
        </w:rPr>
        <w:t>1</w:t>
      </w:r>
      <w:r>
        <w:rPr>
          <w:rFonts w:hint="default" w:ascii="Times New Roman" w:hAnsi="Times New Roman" w:eastAsia="仿宋_GB2312" w:cs="Times New Roman"/>
          <w:sz w:val="28"/>
          <w:szCs w:val="28"/>
        </w:rPr>
        <w:t>4</w:t>
      </w:r>
      <w:r>
        <w:rPr>
          <w:rFonts w:hint="default" w:ascii="Times New Roman" w:hAnsi="Times New Roman" w:eastAsia="仿宋_GB2312" w:cs="Times New Roman"/>
          <w:sz w:val="28"/>
          <w:szCs w:val="28"/>
        </w:rPr>
        <w:t>日印发</w:t>
      </w:r>
    </w:p>
    <w:sectPr>
      <w:pgSz w:w="11906" w:h="16838"/>
      <w:pgMar w:top="1440" w:right="1800" w:bottom="1738"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Arial Unicode MS">
    <w:altName w:val="宋体"/>
    <w:panose1 w:val="020B0604020202020204"/>
    <w:charset w:val="86"/>
    <w:family w:val="auto"/>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方正仿宋_GB2312">
    <w:altName w:val="方正仿宋_GBK"/>
    <w:panose1 w:val="02000000000000000000"/>
    <w:charset w:val="00"/>
    <w:family w:val="auto"/>
    <w:pitch w:val="default"/>
    <w:sig w:usb0="00000000" w:usb1="00000000" w:usb2="00000012" w:usb3="00000000" w:csb0="00040001" w:csb1="00000000"/>
  </w:font>
  <w:font w:name="方正仿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69C3"/>
    <w:rsid w:val="00011F19"/>
    <w:rsid w:val="00026213"/>
    <w:rsid w:val="000A6033"/>
    <w:rsid w:val="000E1A2D"/>
    <w:rsid w:val="000E38EA"/>
    <w:rsid w:val="00141BD3"/>
    <w:rsid w:val="00153FFD"/>
    <w:rsid w:val="001916C9"/>
    <w:rsid w:val="001C2C4A"/>
    <w:rsid w:val="001E3C43"/>
    <w:rsid w:val="00212441"/>
    <w:rsid w:val="002B3035"/>
    <w:rsid w:val="00303FC5"/>
    <w:rsid w:val="003B3499"/>
    <w:rsid w:val="00457192"/>
    <w:rsid w:val="004A37A9"/>
    <w:rsid w:val="004A7BA5"/>
    <w:rsid w:val="00536F0D"/>
    <w:rsid w:val="00561559"/>
    <w:rsid w:val="005B4A08"/>
    <w:rsid w:val="00643907"/>
    <w:rsid w:val="0072561C"/>
    <w:rsid w:val="00732BA6"/>
    <w:rsid w:val="00742477"/>
    <w:rsid w:val="007A0F99"/>
    <w:rsid w:val="008271A6"/>
    <w:rsid w:val="008469C3"/>
    <w:rsid w:val="00864C66"/>
    <w:rsid w:val="00924798"/>
    <w:rsid w:val="00A7102F"/>
    <w:rsid w:val="00B03058"/>
    <w:rsid w:val="00B50D16"/>
    <w:rsid w:val="00B56E32"/>
    <w:rsid w:val="00BC26EE"/>
    <w:rsid w:val="00BE1310"/>
    <w:rsid w:val="00C33CD6"/>
    <w:rsid w:val="00C36643"/>
    <w:rsid w:val="00C72D1B"/>
    <w:rsid w:val="00CE1711"/>
    <w:rsid w:val="00D31679"/>
    <w:rsid w:val="00D66AE8"/>
    <w:rsid w:val="00E038B8"/>
    <w:rsid w:val="00EC366B"/>
    <w:rsid w:val="00F4120A"/>
    <w:rsid w:val="00F4319B"/>
    <w:rsid w:val="00FA5388"/>
    <w:rsid w:val="00FC50AE"/>
    <w:rsid w:val="00FF1DFE"/>
    <w:rsid w:val="01804E67"/>
    <w:rsid w:val="05351DC4"/>
    <w:rsid w:val="0B0E7430"/>
    <w:rsid w:val="115F5538"/>
    <w:rsid w:val="15296F6D"/>
    <w:rsid w:val="15E94A5D"/>
    <w:rsid w:val="1BF505F8"/>
    <w:rsid w:val="1DEA6E05"/>
    <w:rsid w:val="2BC9302D"/>
    <w:rsid w:val="36585895"/>
    <w:rsid w:val="3ED91E82"/>
    <w:rsid w:val="4B6640C9"/>
    <w:rsid w:val="4DF563BD"/>
    <w:rsid w:val="57F112D5"/>
    <w:rsid w:val="616B6342"/>
    <w:rsid w:val="704C254A"/>
    <w:rsid w:val="72907B85"/>
    <w:rsid w:val="72B4574C"/>
    <w:rsid w:val="7FED519C"/>
    <w:rsid w:val="9FFDB03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Normal Indent"/>
    <w:basedOn w:val="1"/>
    <w:qFormat/>
    <w:uiPriority w:val="0"/>
    <w:pPr>
      <w:ind w:firstLine="420"/>
    </w:pPr>
    <w:rPr>
      <w:szCs w:val="20"/>
    </w:r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tabs>
        <w:tab w:val="center" w:pos="4153"/>
        <w:tab w:val="right" w:pos="8306"/>
      </w:tabs>
      <w:snapToGrid w:val="0"/>
      <w:jc w:val="center"/>
    </w:pPr>
    <w:rPr>
      <w:sz w:val="18"/>
      <w:szCs w:val="18"/>
    </w:rPr>
  </w:style>
  <w:style w:type="paragraph" w:styleId="5">
    <w:name w:val="Normal (Web)"/>
    <w:basedOn w:val="1"/>
    <w:semiHidden/>
    <w:unhideWhenUsed/>
    <w:qFormat/>
    <w:uiPriority w:val="99"/>
    <w:pPr>
      <w:spacing w:beforeAutospacing="1" w:afterAutospacing="1"/>
      <w:jc w:val="left"/>
    </w:pPr>
    <w:rPr>
      <w:rFonts w:ascii="等线" w:hAnsi="等线" w:eastAsia="等线" w:cs="Times New Roman"/>
      <w:kern w:val="0"/>
      <w:sz w:val="24"/>
      <w14:ligatures w14:val="none"/>
    </w:rPr>
  </w:style>
  <w:style w:type="character" w:styleId="8">
    <w:name w:val="page number"/>
    <w:basedOn w:val="7"/>
    <w:uiPriority w:val="0"/>
  </w:style>
  <w:style w:type="character" w:customStyle="1" w:styleId="9">
    <w:name w:val="页眉 字符"/>
    <w:basedOn w:val="7"/>
    <w:link w:val="4"/>
    <w:qFormat/>
    <w:uiPriority w:val="99"/>
    <w:rPr>
      <w:sz w:val="18"/>
      <w:szCs w:val="18"/>
    </w:rPr>
  </w:style>
  <w:style w:type="character" w:customStyle="1" w:styleId="10">
    <w:name w:val="页脚 字符"/>
    <w:basedOn w:val="7"/>
    <w:link w:val="3"/>
    <w:qFormat/>
    <w:uiPriority w:val="99"/>
    <w:rPr>
      <w:sz w:val="18"/>
      <w:szCs w:val="18"/>
    </w:rPr>
  </w:style>
  <w:style w:type="paragraph" w:styleId="11">
    <w:name w:val="List Paragraph"/>
    <w:basedOn w:val="1"/>
    <w:qFormat/>
    <w:uiPriority w:val="34"/>
    <w:pPr>
      <w:ind w:firstLine="420" w:firstLineChars="200"/>
    </w:pPr>
  </w:style>
  <w:style w:type="character" w:customStyle="1" w:styleId="12">
    <w:name w:val="NormalCharacter"/>
    <w:semiHidden/>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2140</Words>
  <Characters>2170</Characters>
  <Lines>16</Lines>
  <Paragraphs>4</Paragraphs>
  <TotalTime>2</TotalTime>
  <ScaleCrop>false</ScaleCrop>
  <LinksUpToDate>false</LinksUpToDate>
  <CharactersWithSpaces>2230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2023-10-06T20:14:00Z</dcterms:created>
  <dc:creator>admin</dc:creator>
  <cp:lastModifiedBy>枪手87</cp:lastModifiedBy>
  <cp:lastPrinted>2023-11-29T13:35:00Z</cp:lastPrinted>
  <dcterms:modified xsi:type="dcterms:W3CDTF">2026-01-14T14:05:35Z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eyJoZGlkIjoiNzEyZGRhYWRhNDdlNWY4OWM1YTY2NDM1MGI4MDg0OGIiLCJ1c2VySWQiOiIxMTMzMzg0ODY5In0=</vt:lpwstr>
  </property>
  <property fmtid="{D5CDD505-2E9C-101B-9397-08002B2CF9AE}" pid="4" name="ICV">
    <vt:lpwstr>3CD64291208E468F8203217264B38334_13</vt:lpwstr>
  </property>
</Properties>
</file>